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5F988336"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992AEE">
        <w:rPr>
          <w:rFonts w:eastAsiaTheme="majorEastAsia" w:cstheme="majorBidi"/>
          <w:color w:val="auto"/>
          <w:spacing w:val="-10"/>
          <w:kern w:val="28"/>
          <w:sz w:val="56"/>
          <w:szCs w:val="56"/>
        </w:rPr>
        <w:t>Nicosia</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320"/>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734564B9" w:rsidR="00EC4B83" w:rsidRPr="004F33C8" w:rsidRDefault="00992AEE" w:rsidP="00EC4B83">
            <w:r>
              <w:t>13 april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5301E676" w14:textId="0C340901" w:rsidR="008E458D"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00239834" w:history="1">
        <w:r w:rsidR="008E458D" w:rsidRPr="00BB2C70">
          <w:rPr>
            <w:rStyle w:val="Hyperlink"/>
          </w:rPr>
          <w:t>1</w:t>
        </w:r>
        <w:r w:rsidR="008E458D">
          <w:rPr>
            <w:rFonts w:asciiTheme="minorHAnsi" w:eastAsiaTheme="minorEastAsia" w:hAnsiTheme="minorHAnsi" w:cstheme="minorBidi"/>
            <w:bCs w:val="0"/>
            <w:iCs w:val="0"/>
            <w:caps w:val="0"/>
            <w:sz w:val="22"/>
            <w:szCs w:val="22"/>
            <w:lang w:eastAsia="nl-NL"/>
          </w:rPr>
          <w:tab/>
        </w:r>
        <w:r w:rsidR="008E458D" w:rsidRPr="00BB2C70">
          <w:rPr>
            <w:rStyle w:val="Hyperlink"/>
          </w:rPr>
          <w:t>Algemeen</w:t>
        </w:r>
        <w:r w:rsidR="008E458D">
          <w:rPr>
            <w:webHidden/>
          </w:rPr>
          <w:tab/>
        </w:r>
        <w:r w:rsidR="008E458D">
          <w:rPr>
            <w:webHidden/>
          </w:rPr>
          <w:fldChar w:fldCharType="begin"/>
        </w:r>
        <w:r w:rsidR="008E458D">
          <w:rPr>
            <w:webHidden/>
          </w:rPr>
          <w:instrText xml:space="preserve"> PAGEREF _Toc100239834 \h </w:instrText>
        </w:r>
        <w:r w:rsidR="008E458D">
          <w:rPr>
            <w:webHidden/>
          </w:rPr>
        </w:r>
        <w:r w:rsidR="008E458D">
          <w:rPr>
            <w:webHidden/>
          </w:rPr>
          <w:fldChar w:fldCharType="separate"/>
        </w:r>
        <w:r w:rsidR="003D389E">
          <w:rPr>
            <w:webHidden/>
          </w:rPr>
          <w:t>3</w:t>
        </w:r>
        <w:r w:rsidR="008E458D">
          <w:rPr>
            <w:webHidden/>
          </w:rPr>
          <w:fldChar w:fldCharType="end"/>
        </w:r>
      </w:hyperlink>
    </w:p>
    <w:p w14:paraId="0AF327B8" w14:textId="6E58ABCD" w:rsidR="008E458D" w:rsidRDefault="00B85269">
      <w:pPr>
        <w:pStyle w:val="TOC1"/>
        <w:rPr>
          <w:rFonts w:asciiTheme="minorHAnsi" w:eastAsiaTheme="minorEastAsia" w:hAnsiTheme="minorHAnsi" w:cstheme="minorBidi"/>
          <w:bCs w:val="0"/>
          <w:iCs w:val="0"/>
          <w:caps w:val="0"/>
          <w:sz w:val="22"/>
          <w:szCs w:val="22"/>
          <w:lang w:eastAsia="nl-NL"/>
        </w:rPr>
      </w:pPr>
      <w:hyperlink w:anchor="_Toc100239835" w:history="1">
        <w:r w:rsidR="008E458D" w:rsidRPr="00BB2C70">
          <w:rPr>
            <w:rStyle w:val="Hyperlink"/>
          </w:rPr>
          <w:t>2</w:t>
        </w:r>
        <w:r w:rsidR="008E458D">
          <w:rPr>
            <w:rFonts w:asciiTheme="minorHAnsi" w:eastAsiaTheme="minorEastAsia" w:hAnsiTheme="minorHAnsi" w:cstheme="minorBidi"/>
            <w:bCs w:val="0"/>
            <w:iCs w:val="0"/>
            <w:caps w:val="0"/>
            <w:sz w:val="22"/>
            <w:szCs w:val="22"/>
            <w:lang w:eastAsia="nl-NL"/>
          </w:rPr>
          <w:tab/>
        </w:r>
        <w:r w:rsidR="008E458D" w:rsidRPr="00BB2C70">
          <w:rPr>
            <w:rStyle w:val="Hyperlink"/>
          </w:rPr>
          <w:t>Basis Xpert Suite</w:t>
        </w:r>
        <w:r w:rsidR="008E458D">
          <w:rPr>
            <w:webHidden/>
          </w:rPr>
          <w:tab/>
        </w:r>
        <w:r w:rsidR="008E458D">
          <w:rPr>
            <w:webHidden/>
          </w:rPr>
          <w:fldChar w:fldCharType="begin"/>
        </w:r>
        <w:r w:rsidR="008E458D">
          <w:rPr>
            <w:webHidden/>
          </w:rPr>
          <w:instrText xml:space="preserve"> PAGEREF _Toc100239835 \h </w:instrText>
        </w:r>
        <w:r w:rsidR="008E458D">
          <w:rPr>
            <w:webHidden/>
          </w:rPr>
        </w:r>
        <w:r w:rsidR="008E458D">
          <w:rPr>
            <w:webHidden/>
          </w:rPr>
          <w:fldChar w:fldCharType="separate"/>
        </w:r>
        <w:r w:rsidR="003D389E">
          <w:rPr>
            <w:webHidden/>
          </w:rPr>
          <w:t>3</w:t>
        </w:r>
        <w:r w:rsidR="008E458D">
          <w:rPr>
            <w:webHidden/>
          </w:rPr>
          <w:fldChar w:fldCharType="end"/>
        </w:r>
      </w:hyperlink>
    </w:p>
    <w:p w14:paraId="2D477212" w14:textId="22870404" w:rsidR="008E458D" w:rsidRDefault="00B85269">
      <w:pPr>
        <w:pStyle w:val="TOC2"/>
        <w:rPr>
          <w:rFonts w:asciiTheme="minorHAnsi" w:eastAsiaTheme="minorEastAsia" w:hAnsiTheme="minorHAnsi" w:cstheme="minorBidi"/>
          <w:noProof/>
          <w:sz w:val="22"/>
          <w:szCs w:val="22"/>
          <w:lang w:eastAsia="nl-NL"/>
        </w:rPr>
      </w:pPr>
      <w:hyperlink w:anchor="_Toc100239836" w:history="1">
        <w:r w:rsidR="008E458D" w:rsidRPr="00BB2C70">
          <w:rPr>
            <w:rStyle w:val="Hyperlink"/>
            <w:noProof/>
            <w:lang w:eastAsia="nl-NL"/>
            <w14:scene3d>
              <w14:camera w14:prst="orthographicFront"/>
              <w14:lightRig w14:rig="threePt" w14:dir="t">
                <w14:rot w14:lat="0" w14:lon="0" w14:rev="0"/>
              </w14:lightRig>
            </w14:scene3d>
          </w:rPr>
          <w:t>2.1</w:t>
        </w:r>
        <w:r w:rsidR="008E458D">
          <w:rPr>
            <w:rFonts w:asciiTheme="minorHAnsi" w:eastAsiaTheme="minorEastAsia" w:hAnsiTheme="minorHAnsi" w:cstheme="minorBidi"/>
            <w:noProof/>
            <w:sz w:val="22"/>
            <w:szCs w:val="22"/>
            <w:lang w:eastAsia="nl-NL"/>
          </w:rPr>
          <w:tab/>
        </w:r>
        <w:r w:rsidR="008E458D" w:rsidRPr="00BB2C70">
          <w:rPr>
            <w:rStyle w:val="Hyperlink"/>
            <w:noProof/>
            <w:lang w:eastAsia="nl-NL"/>
          </w:rPr>
          <w:t>XS Beheer</w:t>
        </w:r>
        <w:r w:rsidR="008E458D">
          <w:rPr>
            <w:noProof/>
            <w:webHidden/>
          </w:rPr>
          <w:tab/>
        </w:r>
        <w:r w:rsidR="008E458D">
          <w:rPr>
            <w:noProof/>
            <w:webHidden/>
          </w:rPr>
          <w:fldChar w:fldCharType="begin"/>
        </w:r>
        <w:r w:rsidR="008E458D">
          <w:rPr>
            <w:noProof/>
            <w:webHidden/>
          </w:rPr>
          <w:instrText xml:space="preserve"> PAGEREF _Toc100239836 \h </w:instrText>
        </w:r>
        <w:r w:rsidR="008E458D">
          <w:rPr>
            <w:noProof/>
            <w:webHidden/>
          </w:rPr>
        </w:r>
        <w:r w:rsidR="008E458D">
          <w:rPr>
            <w:noProof/>
            <w:webHidden/>
          </w:rPr>
          <w:fldChar w:fldCharType="separate"/>
        </w:r>
        <w:r w:rsidR="003D389E">
          <w:rPr>
            <w:noProof/>
            <w:webHidden/>
          </w:rPr>
          <w:t>3</w:t>
        </w:r>
        <w:r w:rsidR="008E458D">
          <w:rPr>
            <w:noProof/>
            <w:webHidden/>
          </w:rPr>
          <w:fldChar w:fldCharType="end"/>
        </w:r>
      </w:hyperlink>
    </w:p>
    <w:p w14:paraId="28EFE72B" w14:textId="3096415D" w:rsidR="008E458D" w:rsidRDefault="00B85269">
      <w:pPr>
        <w:pStyle w:val="TOC3"/>
        <w:tabs>
          <w:tab w:val="left" w:pos="2459"/>
        </w:tabs>
        <w:rPr>
          <w:rFonts w:asciiTheme="minorHAnsi" w:eastAsiaTheme="minorEastAsia" w:hAnsiTheme="minorHAnsi" w:cstheme="minorBidi"/>
          <w:iCs w:val="0"/>
          <w:sz w:val="22"/>
          <w:szCs w:val="22"/>
          <w:lang w:eastAsia="nl-NL"/>
        </w:rPr>
      </w:pPr>
      <w:hyperlink w:anchor="_Toc100239837" w:history="1">
        <w:r w:rsidR="008E458D" w:rsidRPr="00BB2C70">
          <w:rPr>
            <w:rStyle w:val="Hyperlink"/>
          </w:rPr>
          <w:t>2.1.1</w:t>
        </w:r>
        <w:r w:rsidR="008E458D">
          <w:rPr>
            <w:rFonts w:asciiTheme="minorHAnsi" w:eastAsiaTheme="minorEastAsia" w:hAnsiTheme="minorHAnsi" w:cstheme="minorBidi"/>
            <w:iCs w:val="0"/>
            <w:sz w:val="22"/>
            <w:szCs w:val="22"/>
            <w:lang w:eastAsia="nl-NL"/>
          </w:rPr>
          <w:tab/>
        </w:r>
        <w:r w:rsidR="008E458D" w:rsidRPr="00BB2C70">
          <w:rPr>
            <w:rStyle w:val="Hyperlink"/>
          </w:rPr>
          <w:t>Nieuwe triggervoorwaarde: Traject heeft status ‘uitsluiten van uitkering’</w:t>
        </w:r>
        <w:r w:rsidR="008E458D">
          <w:rPr>
            <w:webHidden/>
          </w:rPr>
          <w:tab/>
        </w:r>
        <w:r w:rsidR="008E458D">
          <w:rPr>
            <w:webHidden/>
          </w:rPr>
          <w:fldChar w:fldCharType="begin"/>
        </w:r>
        <w:r w:rsidR="008E458D">
          <w:rPr>
            <w:webHidden/>
          </w:rPr>
          <w:instrText xml:space="preserve"> PAGEREF _Toc100239837 \h </w:instrText>
        </w:r>
        <w:r w:rsidR="008E458D">
          <w:rPr>
            <w:webHidden/>
          </w:rPr>
        </w:r>
        <w:r w:rsidR="008E458D">
          <w:rPr>
            <w:webHidden/>
          </w:rPr>
          <w:fldChar w:fldCharType="separate"/>
        </w:r>
        <w:r w:rsidR="003D389E">
          <w:rPr>
            <w:webHidden/>
          </w:rPr>
          <w:t>3</w:t>
        </w:r>
        <w:r w:rsidR="008E458D">
          <w:rPr>
            <w:webHidden/>
          </w:rPr>
          <w:fldChar w:fldCharType="end"/>
        </w:r>
      </w:hyperlink>
    </w:p>
    <w:p w14:paraId="1684332B" w14:textId="7F3ECA38" w:rsidR="008E458D" w:rsidRDefault="00B85269">
      <w:pPr>
        <w:pStyle w:val="TOC2"/>
        <w:rPr>
          <w:rFonts w:asciiTheme="minorHAnsi" w:eastAsiaTheme="minorEastAsia" w:hAnsiTheme="minorHAnsi" w:cstheme="minorBidi"/>
          <w:noProof/>
          <w:sz w:val="22"/>
          <w:szCs w:val="22"/>
          <w:lang w:eastAsia="nl-NL"/>
        </w:rPr>
      </w:pPr>
      <w:hyperlink w:anchor="_Toc100239838" w:history="1">
        <w:r w:rsidR="008E458D" w:rsidRPr="00BB2C70">
          <w:rPr>
            <w:rStyle w:val="Hyperlink"/>
            <w:noProof/>
            <w14:scene3d>
              <w14:camera w14:prst="orthographicFront"/>
              <w14:lightRig w14:rig="threePt" w14:dir="t">
                <w14:rot w14:lat="0" w14:lon="0" w14:rev="0"/>
              </w14:lightRig>
            </w14:scene3d>
          </w:rPr>
          <w:t>2.2</w:t>
        </w:r>
        <w:r w:rsidR="008E458D">
          <w:rPr>
            <w:rFonts w:asciiTheme="minorHAnsi" w:eastAsiaTheme="minorEastAsia" w:hAnsiTheme="minorHAnsi" w:cstheme="minorBidi"/>
            <w:noProof/>
            <w:sz w:val="22"/>
            <w:szCs w:val="22"/>
            <w:lang w:eastAsia="nl-NL"/>
          </w:rPr>
          <w:tab/>
        </w:r>
        <w:r w:rsidR="008E458D" w:rsidRPr="00BB2C70">
          <w:rPr>
            <w:rStyle w:val="Hyperlink"/>
            <w:noProof/>
          </w:rPr>
          <w:t>XS Gebruiker</w:t>
        </w:r>
        <w:r w:rsidR="008E458D">
          <w:rPr>
            <w:noProof/>
            <w:webHidden/>
          </w:rPr>
          <w:tab/>
        </w:r>
        <w:r w:rsidR="008E458D">
          <w:rPr>
            <w:noProof/>
            <w:webHidden/>
          </w:rPr>
          <w:fldChar w:fldCharType="begin"/>
        </w:r>
        <w:r w:rsidR="008E458D">
          <w:rPr>
            <w:noProof/>
            <w:webHidden/>
          </w:rPr>
          <w:instrText xml:space="preserve"> PAGEREF _Toc100239838 \h </w:instrText>
        </w:r>
        <w:r w:rsidR="008E458D">
          <w:rPr>
            <w:noProof/>
            <w:webHidden/>
          </w:rPr>
        </w:r>
        <w:r w:rsidR="008E458D">
          <w:rPr>
            <w:noProof/>
            <w:webHidden/>
          </w:rPr>
          <w:fldChar w:fldCharType="separate"/>
        </w:r>
        <w:r w:rsidR="003D389E">
          <w:rPr>
            <w:noProof/>
            <w:webHidden/>
          </w:rPr>
          <w:t>3</w:t>
        </w:r>
        <w:r w:rsidR="008E458D">
          <w:rPr>
            <w:noProof/>
            <w:webHidden/>
          </w:rPr>
          <w:fldChar w:fldCharType="end"/>
        </w:r>
      </w:hyperlink>
    </w:p>
    <w:p w14:paraId="68ABA43A" w14:textId="160E7320" w:rsidR="008E458D" w:rsidRDefault="00B85269">
      <w:pPr>
        <w:pStyle w:val="TOC3"/>
        <w:tabs>
          <w:tab w:val="left" w:pos="2459"/>
        </w:tabs>
        <w:rPr>
          <w:rFonts w:asciiTheme="minorHAnsi" w:eastAsiaTheme="minorEastAsia" w:hAnsiTheme="minorHAnsi" w:cstheme="minorBidi"/>
          <w:iCs w:val="0"/>
          <w:sz w:val="22"/>
          <w:szCs w:val="22"/>
          <w:lang w:eastAsia="nl-NL"/>
        </w:rPr>
      </w:pPr>
      <w:hyperlink w:anchor="_Toc100239839" w:history="1">
        <w:r w:rsidR="008E458D" w:rsidRPr="00BB2C70">
          <w:rPr>
            <w:rStyle w:val="Hyperlink"/>
          </w:rPr>
          <w:t>2.2.1</w:t>
        </w:r>
        <w:r w:rsidR="008E458D">
          <w:rPr>
            <w:rFonts w:asciiTheme="minorHAnsi" w:eastAsiaTheme="minorEastAsia" w:hAnsiTheme="minorHAnsi" w:cstheme="minorBidi"/>
            <w:iCs w:val="0"/>
            <w:sz w:val="22"/>
            <w:szCs w:val="22"/>
            <w:lang w:eastAsia="nl-NL"/>
          </w:rPr>
          <w:tab/>
        </w:r>
        <w:r w:rsidR="008E458D" w:rsidRPr="00BB2C70">
          <w:rPr>
            <w:rStyle w:val="Hyperlink"/>
          </w:rPr>
          <w:t>Veilig communiceren - Verbeteringen aan Werknemer-deelnemers</w:t>
        </w:r>
        <w:r w:rsidR="008E458D">
          <w:rPr>
            <w:webHidden/>
          </w:rPr>
          <w:tab/>
        </w:r>
        <w:r w:rsidR="008E458D">
          <w:rPr>
            <w:webHidden/>
          </w:rPr>
          <w:fldChar w:fldCharType="begin"/>
        </w:r>
        <w:r w:rsidR="008E458D">
          <w:rPr>
            <w:webHidden/>
          </w:rPr>
          <w:instrText xml:space="preserve"> PAGEREF _Toc100239839 \h </w:instrText>
        </w:r>
        <w:r w:rsidR="008E458D">
          <w:rPr>
            <w:webHidden/>
          </w:rPr>
        </w:r>
        <w:r w:rsidR="008E458D">
          <w:rPr>
            <w:webHidden/>
          </w:rPr>
          <w:fldChar w:fldCharType="separate"/>
        </w:r>
        <w:r w:rsidR="003D389E">
          <w:rPr>
            <w:webHidden/>
          </w:rPr>
          <w:t>3</w:t>
        </w:r>
        <w:r w:rsidR="008E458D">
          <w:rPr>
            <w:webHidden/>
          </w:rPr>
          <w:fldChar w:fldCharType="end"/>
        </w:r>
      </w:hyperlink>
    </w:p>
    <w:p w14:paraId="1BC83A56" w14:textId="564819CB" w:rsidR="008E458D" w:rsidRDefault="00B85269">
      <w:pPr>
        <w:pStyle w:val="TOC1"/>
        <w:rPr>
          <w:rFonts w:asciiTheme="minorHAnsi" w:eastAsiaTheme="minorEastAsia" w:hAnsiTheme="minorHAnsi" w:cstheme="minorBidi"/>
          <w:bCs w:val="0"/>
          <w:iCs w:val="0"/>
          <w:caps w:val="0"/>
          <w:sz w:val="22"/>
          <w:szCs w:val="22"/>
          <w:lang w:eastAsia="nl-NL"/>
        </w:rPr>
      </w:pPr>
      <w:hyperlink w:anchor="_Toc100239840" w:history="1">
        <w:r w:rsidR="008E458D" w:rsidRPr="00BB2C70">
          <w:rPr>
            <w:rStyle w:val="Hyperlink"/>
          </w:rPr>
          <w:t>3</w:t>
        </w:r>
        <w:r w:rsidR="008E458D">
          <w:rPr>
            <w:rFonts w:asciiTheme="minorHAnsi" w:eastAsiaTheme="minorEastAsia" w:hAnsiTheme="minorHAnsi" w:cstheme="minorBidi"/>
            <w:bCs w:val="0"/>
            <w:iCs w:val="0"/>
            <w:caps w:val="0"/>
            <w:sz w:val="22"/>
            <w:szCs w:val="22"/>
            <w:lang w:eastAsia="nl-NL"/>
          </w:rPr>
          <w:tab/>
        </w:r>
        <w:r w:rsidR="008E458D" w:rsidRPr="00BB2C70">
          <w:rPr>
            <w:rStyle w:val="Hyperlink"/>
          </w:rPr>
          <w:t>Modules</w:t>
        </w:r>
        <w:r w:rsidR="008E458D">
          <w:rPr>
            <w:webHidden/>
          </w:rPr>
          <w:tab/>
        </w:r>
        <w:r w:rsidR="008E458D">
          <w:rPr>
            <w:webHidden/>
          </w:rPr>
          <w:fldChar w:fldCharType="begin"/>
        </w:r>
        <w:r w:rsidR="008E458D">
          <w:rPr>
            <w:webHidden/>
          </w:rPr>
          <w:instrText xml:space="preserve"> PAGEREF _Toc100239840 \h </w:instrText>
        </w:r>
        <w:r w:rsidR="008E458D">
          <w:rPr>
            <w:webHidden/>
          </w:rPr>
        </w:r>
        <w:r w:rsidR="008E458D">
          <w:rPr>
            <w:webHidden/>
          </w:rPr>
          <w:fldChar w:fldCharType="separate"/>
        </w:r>
        <w:r w:rsidR="003D389E">
          <w:rPr>
            <w:webHidden/>
          </w:rPr>
          <w:t>4</w:t>
        </w:r>
        <w:r w:rsidR="008E458D">
          <w:rPr>
            <w:webHidden/>
          </w:rPr>
          <w:fldChar w:fldCharType="end"/>
        </w:r>
      </w:hyperlink>
    </w:p>
    <w:p w14:paraId="6B72B2FB" w14:textId="062CDE0A" w:rsidR="008E458D" w:rsidRDefault="00B85269">
      <w:pPr>
        <w:pStyle w:val="TOC2"/>
        <w:rPr>
          <w:rFonts w:asciiTheme="minorHAnsi" w:eastAsiaTheme="minorEastAsia" w:hAnsiTheme="minorHAnsi" w:cstheme="minorBidi"/>
          <w:noProof/>
          <w:sz w:val="22"/>
          <w:szCs w:val="22"/>
          <w:lang w:eastAsia="nl-NL"/>
        </w:rPr>
      </w:pPr>
      <w:hyperlink w:anchor="_Toc100239841" w:history="1">
        <w:r w:rsidR="008E458D" w:rsidRPr="00BB2C70">
          <w:rPr>
            <w:rStyle w:val="Hyperlink"/>
            <w:noProof/>
            <w14:scene3d>
              <w14:camera w14:prst="orthographicFront"/>
              <w14:lightRig w14:rig="threePt" w14:dir="t">
                <w14:rot w14:lat="0" w14:lon="0" w14:rev="0"/>
              </w14:lightRig>
            </w14:scene3d>
          </w:rPr>
          <w:t>3.1</w:t>
        </w:r>
        <w:r w:rsidR="008E458D">
          <w:rPr>
            <w:rFonts w:asciiTheme="minorHAnsi" w:eastAsiaTheme="minorEastAsia" w:hAnsiTheme="minorHAnsi" w:cstheme="minorBidi"/>
            <w:noProof/>
            <w:sz w:val="22"/>
            <w:szCs w:val="22"/>
            <w:lang w:eastAsia="nl-NL"/>
          </w:rPr>
          <w:tab/>
        </w:r>
        <w:r w:rsidR="008E458D" w:rsidRPr="00BB2C70">
          <w:rPr>
            <w:rStyle w:val="Hyperlink"/>
            <w:noProof/>
          </w:rPr>
          <w:t>Contractmanagement</w:t>
        </w:r>
        <w:r w:rsidR="008E458D">
          <w:rPr>
            <w:noProof/>
            <w:webHidden/>
          </w:rPr>
          <w:tab/>
        </w:r>
        <w:r w:rsidR="008E458D">
          <w:rPr>
            <w:noProof/>
            <w:webHidden/>
          </w:rPr>
          <w:fldChar w:fldCharType="begin"/>
        </w:r>
        <w:r w:rsidR="008E458D">
          <w:rPr>
            <w:noProof/>
            <w:webHidden/>
          </w:rPr>
          <w:instrText xml:space="preserve"> PAGEREF _Toc100239841 \h </w:instrText>
        </w:r>
        <w:r w:rsidR="008E458D">
          <w:rPr>
            <w:noProof/>
            <w:webHidden/>
          </w:rPr>
        </w:r>
        <w:r w:rsidR="008E458D">
          <w:rPr>
            <w:noProof/>
            <w:webHidden/>
          </w:rPr>
          <w:fldChar w:fldCharType="separate"/>
        </w:r>
        <w:r w:rsidR="003D389E">
          <w:rPr>
            <w:noProof/>
            <w:webHidden/>
          </w:rPr>
          <w:t>4</w:t>
        </w:r>
        <w:r w:rsidR="008E458D">
          <w:rPr>
            <w:noProof/>
            <w:webHidden/>
          </w:rPr>
          <w:fldChar w:fldCharType="end"/>
        </w:r>
      </w:hyperlink>
    </w:p>
    <w:p w14:paraId="2A493ACD" w14:textId="253C80BC" w:rsidR="008E458D" w:rsidRDefault="00B85269">
      <w:pPr>
        <w:pStyle w:val="TOC3"/>
        <w:tabs>
          <w:tab w:val="left" w:pos="2459"/>
        </w:tabs>
        <w:rPr>
          <w:rFonts w:asciiTheme="minorHAnsi" w:eastAsiaTheme="minorEastAsia" w:hAnsiTheme="minorHAnsi" w:cstheme="minorBidi"/>
          <w:iCs w:val="0"/>
          <w:sz w:val="22"/>
          <w:szCs w:val="22"/>
          <w:lang w:eastAsia="nl-NL"/>
        </w:rPr>
      </w:pPr>
      <w:hyperlink w:anchor="_Toc100239842" w:history="1">
        <w:r w:rsidR="008E458D" w:rsidRPr="00BB2C70">
          <w:rPr>
            <w:rStyle w:val="Hyperlink"/>
          </w:rPr>
          <w:t>3.1.1</w:t>
        </w:r>
        <w:r w:rsidR="008E458D">
          <w:rPr>
            <w:rFonts w:asciiTheme="minorHAnsi" w:eastAsiaTheme="minorEastAsia" w:hAnsiTheme="minorHAnsi" w:cstheme="minorBidi"/>
            <w:iCs w:val="0"/>
            <w:sz w:val="22"/>
            <w:szCs w:val="22"/>
            <w:lang w:eastAsia="nl-NL"/>
          </w:rPr>
          <w:tab/>
        </w:r>
        <w:r w:rsidR="008E458D" w:rsidRPr="00BB2C70">
          <w:rPr>
            <w:rStyle w:val="Hyperlink"/>
          </w:rPr>
          <w:t>Blokkeren van tijd schrijven op gesloten trajecten</w:t>
        </w:r>
        <w:r w:rsidR="008E458D">
          <w:rPr>
            <w:webHidden/>
          </w:rPr>
          <w:tab/>
        </w:r>
        <w:r w:rsidR="008E458D">
          <w:rPr>
            <w:webHidden/>
          </w:rPr>
          <w:fldChar w:fldCharType="begin"/>
        </w:r>
        <w:r w:rsidR="008E458D">
          <w:rPr>
            <w:webHidden/>
          </w:rPr>
          <w:instrText xml:space="preserve"> PAGEREF _Toc100239842 \h </w:instrText>
        </w:r>
        <w:r w:rsidR="008E458D">
          <w:rPr>
            <w:webHidden/>
          </w:rPr>
        </w:r>
        <w:r w:rsidR="008E458D">
          <w:rPr>
            <w:webHidden/>
          </w:rPr>
          <w:fldChar w:fldCharType="separate"/>
        </w:r>
        <w:r w:rsidR="003D389E">
          <w:rPr>
            <w:webHidden/>
          </w:rPr>
          <w:t>4</w:t>
        </w:r>
        <w:r w:rsidR="008E458D">
          <w:rPr>
            <w:webHidden/>
          </w:rPr>
          <w:fldChar w:fldCharType="end"/>
        </w:r>
      </w:hyperlink>
    </w:p>
    <w:p w14:paraId="56618870" w14:textId="743A53C7" w:rsidR="008E458D" w:rsidRDefault="00B85269">
      <w:pPr>
        <w:pStyle w:val="TOC2"/>
        <w:rPr>
          <w:rFonts w:asciiTheme="minorHAnsi" w:eastAsiaTheme="minorEastAsia" w:hAnsiTheme="minorHAnsi" w:cstheme="minorBidi"/>
          <w:noProof/>
          <w:sz w:val="22"/>
          <w:szCs w:val="22"/>
          <w:lang w:eastAsia="nl-NL"/>
        </w:rPr>
      </w:pPr>
      <w:hyperlink w:anchor="_Toc100239843" w:history="1">
        <w:r w:rsidR="008E458D" w:rsidRPr="00BB2C70">
          <w:rPr>
            <w:rStyle w:val="Hyperlink"/>
            <w:noProof/>
            <w14:scene3d>
              <w14:camera w14:prst="orthographicFront"/>
              <w14:lightRig w14:rig="threePt" w14:dir="t">
                <w14:rot w14:lat="0" w14:lon="0" w14:rev="0"/>
              </w14:lightRig>
            </w14:scene3d>
          </w:rPr>
          <w:t>3.2</w:t>
        </w:r>
        <w:r w:rsidR="008E458D">
          <w:rPr>
            <w:rFonts w:asciiTheme="minorHAnsi" w:eastAsiaTheme="minorEastAsia" w:hAnsiTheme="minorHAnsi" w:cstheme="minorBidi"/>
            <w:noProof/>
            <w:sz w:val="22"/>
            <w:szCs w:val="22"/>
            <w:lang w:eastAsia="nl-NL"/>
          </w:rPr>
          <w:tab/>
        </w:r>
        <w:r w:rsidR="008E458D" w:rsidRPr="00BB2C70">
          <w:rPr>
            <w:rStyle w:val="Hyperlink"/>
            <w:noProof/>
          </w:rPr>
          <w:t>Inkomensverzekeringen</w:t>
        </w:r>
        <w:r w:rsidR="008E458D">
          <w:rPr>
            <w:noProof/>
            <w:webHidden/>
          </w:rPr>
          <w:tab/>
        </w:r>
        <w:r w:rsidR="008E458D">
          <w:rPr>
            <w:noProof/>
            <w:webHidden/>
          </w:rPr>
          <w:fldChar w:fldCharType="begin"/>
        </w:r>
        <w:r w:rsidR="008E458D">
          <w:rPr>
            <w:noProof/>
            <w:webHidden/>
          </w:rPr>
          <w:instrText xml:space="preserve"> PAGEREF _Toc100239843 \h </w:instrText>
        </w:r>
        <w:r w:rsidR="008E458D">
          <w:rPr>
            <w:noProof/>
            <w:webHidden/>
          </w:rPr>
        </w:r>
        <w:r w:rsidR="008E458D">
          <w:rPr>
            <w:noProof/>
            <w:webHidden/>
          </w:rPr>
          <w:fldChar w:fldCharType="separate"/>
        </w:r>
        <w:r w:rsidR="003D389E">
          <w:rPr>
            <w:noProof/>
            <w:webHidden/>
          </w:rPr>
          <w:t>5</w:t>
        </w:r>
        <w:r w:rsidR="008E458D">
          <w:rPr>
            <w:noProof/>
            <w:webHidden/>
          </w:rPr>
          <w:fldChar w:fldCharType="end"/>
        </w:r>
      </w:hyperlink>
    </w:p>
    <w:p w14:paraId="76BC12D7" w14:textId="12E68F25" w:rsidR="008E458D" w:rsidRDefault="00B85269">
      <w:pPr>
        <w:pStyle w:val="TOC3"/>
        <w:tabs>
          <w:tab w:val="left" w:pos="2459"/>
        </w:tabs>
        <w:rPr>
          <w:rFonts w:asciiTheme="minorHAnsi" w:eastAsiaTheme="minorEastAsia" w:hAnsiTheme="minorHAnsi" w:cstheme="minorBidi"/>
          <w:iCs w:val="0"/>
          <w:sz w:val="22"/>
          <w:szCs w:val="22"/>
          <w:lang w:eastAsia="nl-NL"/>
        </w:rPr>
      </w:pPr>
      <w:hyperlink w:anchor="_Toc100239844" w:history="1">
        <w:r w:rsidR="008E458D" w:rsidRPr="00BB2C70">
          <w:rPr>
            <w:rStyle w:val="Hyperlink"/>
          </w:rPr>
          <w:t>3.2.1</w:t>
        </w:r>
        <w:r w:rsidR="008E458D">
          <w:rPr>
            <w:rFonts w:asciiTheme="minorHAnsi" w:eastAsiaTheme="minorEastAsia" w:hAnsiTheme="minorHAnsi" w:cstheme="minorBidi"/>
            <w:iCs w:val="0"/>
            <w:sz w:val="22"/>
            <w:szCs w:val="22"/>
            <w:lang w:eastAsia="nl-NL"/>
          </w:rPr>
          <w:tab/>
        </w:r>
        <w:r w:rsidR="008E458D" w:rsidRPr="00BB2C70">
          <w:rPr>
            <w:rStyle w:val="Hyperlink"/>
          </w:rPr>
          <w:t>Claims en boekingen inzage voor werkgevergebruikers</w:t>
        </w:r>
        <w:r w:rsidR="008E458D">
          <w:rPr>
            <w:webHidden/>
          </w:rPr>
          <w:tab/>
        </w:r>
        <w:r w:rsidR="008E458D">
          <w:rPr>
            <w:webHidden/>
          </w:rPr>
          <w:fldChar w:fldCharType="begin"/>
        </w:r>
        <w:r w:rsidR="008E458D">
          <w:rPr>
            <w:webHidden/>
          </w:rPr>
          <w:instrText xml:space="preserve"> PAGEREF _Toc100239844 \h </w:instrText>
        </w:r>
        <w:r w:rsidR="008E458D">
          <w:rPr>
            <w:webHidden/>
          </w:rPr>
        </w:r>
        <w:r w:rsidR="008E458D">
          <w:rPr>
            <w:webHidden/>
          </w:rPr>
          <w:fldChar w:fldCharType="separate"/>
        </w:r>
        <w:r w:rsidR="003D389E">
          <w:rPr>
            <w:webHidden/>
          </w:rPr>
          <w:t>5</w:t>
        </w:r>
        <w:r w:rsidR="008E458D">
          <w:rPr>
            <w:webHidden/>
          </w:rPr>
          <w:fldChar w:fldCharType="end"/>
        </w:r>
      </w:hyperlink>
    </w:p>
    <w:p w14:paraId="282BC05D" w14:textId="67D6FC6F" w:rsidR="008E458D" w:rsidRDefault="00B85269">
      <w:pPr>
        <w:pStyle w:val="TOC2"/>
        <w:rPr>
          <w:rFonts w:asciiTheme="minorHAnsi" w:eastAsiaTheme="minorEastAsia" w:hAnsiTheme="minorHAnsi" w:cstheme="minorBidi"/>
          <w:noProof/>
          <w:sz w:val="22"/>
          <w:szCs w:val="22"/>
          <w:lang w:eastAsia="nl-NL"/>
        </w:rPr>
      </w:pPr>
      <w:hyperlink w:anchor="_Toc100239845" w:history="1">
        <w:r w:rsidR="008E458D" w:rsidRPr="00BB2C70">
          <w:rPr>
            <w:rStyle w:val="Hyperlink"/>
            <w:noProof/>
            <w14:scene3d>
              <w14:camera w14:prst="orthographicFront"/>
              <w14:lightRig w14:rig="threePt" w14:dir="t">
                <w14:rot w14:lat="0" w14:lon="0" w14:rev="0"/>
              </w14:lightRig>
            </w14:scene3d>
          </w:rPr>
          <w:t>3.3</w:t>
        </w:r>
        <w:r w:rsidR="008E458D">
          <w:rPr>
            <w:rFonts w:asciiTheme="minorHAnsi" w:eastAsiaTheme="minorEastAsia" w:hAnsiTheme="minorHAnsi" w:cstheme="minorBidi"/>
            <w:noProof/>
            <w:sz w:val="22"/>
            <w:szCs w:val="22"/>
            <w:lang w:eastAsia="nl-NL"/>
          </w:rPr>
          <w:tab/>
        </w:r>
        <w:r w:rsidR="008E458D" w:rsidRPr="00BB2C70">
          <w:rPr>
            <w:rStyle w:val="Hyperlink"/>
            <w:noProof/>
          </w:rPr>
          <w:t>Verloning</w:t>
        </w:r>
        <w:r w:rsidR="008E458D">
          <w:rPr>
            <w:noProof/>
            <w:webHidden/>
          </w:rPr>
          <w:tab/>
        </w:r>
        <w:r w:rsidR="008E458D">
          <w:rPr>
            <w:noProof/>
            <w:webHidden/>
          </w:rPr>
          <w:fldChar w:fldCharType="begin"/>
        </w:r>
        <w:r w:rsidR="008E458D">
          <w:rPr>
            <w:noProof/>
            <w:webHidden/>
          </w:rPr>
          <w:instrText xml:space="preserve"> PAGEREF _Toc100239845 \h </w:instrText>
        </w:r>
        <w:r w:rsidR="008E458D">
          <w:rPr>
            <w:noProof/>
            <w:webHidden/>
          </w:rPr>
        </w:r>
        <w:r w:rsidR="008E458D">
          <w:rPr>
            <w:noProof/>
            <w:webHidden/>
          </w:rPr>
          <w:fldChar w:fldCharType="separate"/>
        </w:r>
        <w:r w:rsidR="003D389E">
          <w:rPr>
            <w:noProof/>
            <w:webHidden/>
          </w:rPr>
          <w:t>5</w:t>
        </w:r>
        <w:r w:rsidR="008E458D">
          <w:rPr>
            <w:noProof/>
            <w:webHidden/>
          </w:rPr>
          <w:fldChar w:fldCharType="end"/>
        </w:r>
      </w:hyperlink>
    </w:p>
    <w:p w14:paraId="317F65CF" w14:textId="1D2AD557" w:rsidR="008E458D" w:rsidRDefault="00B85269">
      <w:pPr>
        <w:pStyle w:val="TOC3"/>
        <w:tabs>
          <w:tab w:val="left" w:pos="2459"/>
        </w:tabs>
        <w:rPr>
          <w:rFonts w:asciiTheme="minorHAnsi" w:eastAsiaTheme="minorEastAsia" w:hAnsiTheme="minorHAnsi" w:cstheme="minorBidi"/>
          <w:iCs w:val="0"/>
          <w:sz w:val="22"/>
          <w:szCs w:val="22"/>
          <w:lang w:eastAsia="nl-NL"/>
        </w:rPr>
      </w:pPr>
      <w:hyperlink w:anchor="_Toc100239846" w:history="1">
        <w:r w:rsidR="008E458D" w:rsidRPr="00BB2C70">
          <w:rPr>
            <w:rStyle w:val="Hyperlink"/>
          </w:rPr>
          <w:t>3.3.1</w:t>
        </w:r>
        <w:r w:rsidR="008E458D">
          <w:rPr>
            <w:rFonts w:asciiTheme="minorHAnsi" w:eastAsiaTheme="minorEastAsia" w:hAnsiTheme="minorHAnsi" w:cstheme="minorBidi"/>
            <w:iCs w:val="0"/>
            <w:sz w:val="22"/>
            <w:szCs w:val="22"/>
            <w:lang w:eastAsia="nl-NL"/>
          </w:rPr>
          <w:tab/>
        </w:r>
        <w:r w:rsidR="008E458D" w:rsidRPr="00BB2C70">
          <w:rPr>
            <w:rStyle w:val="Hyperlink"/>
          </w:rPr>
          <w:t>Ondersteuning WIA-verzekeringspolissen</w:t>
        </w:r>
        <w:r w:rsidR="008E458D">
          <w:rPr>
            <w:webHidden/>
          </w:rPr>
          <w:tab/>
        </w:r>
        <w:r w:rsidR="008E458D">
          <w:rPr>
            <w:webHidden/>
          </w:rPr>
          <w:fldChar w:fldCharType="begin"/>
        </w:r>
        <w:r w:rsidR="008E458D">
          <w:rPr>
            <w:webHidden/>
          </w:rPr>
          <w:instrText xml:space="preserve"> PAGEREF _Toc100239846 \h </w:instrText>
        </w:r>
        <w:r w:rsidR="008E458D">
          <w:rPr>
            <w:webHidden/>
          </w:rPr>
        </w:r>
        <w:r w:rsidR="008E458D">
          <w:rPr>
            <w:webHidden/>
          </w:rPr>
          <w:fldChar w:fldCharType="separate"/>
        </w:r>
        <w:r w:rsidR="003D389E">
          <w:rPr>
            <w:webHidden/>
          </w:rPr>
          <w:t>5</w:t>
        </w:r>
        <w:r w:rsidR="008E458D">
          <w:rPr>
            <w:webHidden/>
          </w:rPr>
          <w:fldChar w:fldCharType="end"/>
        </w:r>
      </w:hyperlink>
    </w:p>
    <w:p w14:paraId="7F718E9C" w14:textId="38FA7F0A" w:rsidR="008E458D" w:rsidRPr="00DC799B" w:rsidRDefault="00B85269" w:rsidP="00DC799B">
      <w:pPr>
        <w:pStyle w:val="TOC4"/>
        <w:tabs>
          <w:tab w:val="left" w:pos="2459"/>
          <w:tab w:val="right" w:pos="9016"/>
        </w:tabs>
        <w:ind w:left="1843"/>
        <w:rPr>
          <w:rFonts w:ascii="FuturaBT Light" w:eastAsiaTheme="minorEastAsia" w:hAnsi="FuturaBT Light" w:cstheme="minorBidi"/>
          <w:iCs w:val="0"/>
          <w:noProof/>
          <w:sz w:val="16"/>
          <w:szCs w:val="16"/>
          <w:lang w:eastAsia="nl-NL"/>
        </w:rPr>
      </w:pPr>
      <w:hyperlink w:anchor="_Toc100239847" w:history="1">
        <w:r w:rsidR="008E458D" w:rsidRPr="00DC799B">
          <w:rPr>
            <w:rStyle w:val="Hyperlink"/>
            <w:rFonts w:ascii="FuturaBT Light" w:hAnsi="FuturaBT Light"/>
            <w:noProof/>
            <w:sz w:val="16"/>
            <w:szCs w:val="16"/>
          </w:rPr>
          <w:t>3.3.1.1</w:t>
        </w:r>
        <w:r w:rsidR="008E458D" w:rsidRPr="00DC799B">
          <w:rPr>
            <w:rFonts w:ascii="FuturaBT Light" w:eastAsiaTheme="minorEastAsia" w:hAnsi="FuturaBT Light" w:cstheme="minorBidi"/>
            <w:iCs w:val="0"/>
            <w:noProof/>
            <w:sz w:val="16"/>
            <w:szCs w:val="16"/>
            <w:lang w:eastAsia="nl-NL"/>
          </w:rPr>
          <w:tab/>
        </w:r>
        <w:r w:rsidR="008E458D" w:rsidRPr="00DC799B">
          <w:rPr>
            <w:rStyle w:val="Hyperlink"/>
            <w:rFonts w:ascii="FuturaBT Light" w:hAnsi="FuturaBT Light"/>
            <w:noProof/>
            <w:sz w:val="16"/>
            <w:szCs w:val="16"/>
          </w:rPr>
          <w:t>Trajectsoort koppelen aan verzekeringstype en traject starten</w:t>
        </w:r>
        <w:r w:rsidR="008E458D" w:rsidRPr="00DC799B">
          <w:rPr>
            <w:rFonts w:ascii="FuturaBT Light" w:hAnsi="FuturaBT Light"/>
            <w:noProof/>
            <w:webHidden/>
            <w:sz w:val="16"/>
            <w:szCs w:val="16"/>
          </w:rPr>
          <w:tab/>
        </w:r>
        <w:r w:rsidR="008E458D" w:rsidRPr="00DC799B">
          <w:rPr>
            <w:rFonts w:ascii="FuturaBT Light" w:hAnsi="FuturaBT Light"/>
            <w:noProof/>
            <w:webHidden/>
            <w:sz w:val="16"/>
            <w:szCs w:val="16"/>
          </w:rPr>
          <w:fldChar w:fldCharType="begin"/>
        </w:r>
        <w:r w:rsidR="008E458D" w:rsidRPr="00DC799B">
          <w:rPr>
            <w:rFonts w:ascii="FuturaBT Light" w:hAnsi="FuturaBT Light"/>
            <w:noProof/>
            <w:webHidden/>
            <w:sz w:val="16"/>
            <w:szCs w:val="16"/>
          </w:rPr>
          <w:instrText xml:space="preserve"> PAGEREF _Toc100239847 \h </w:instrText>
        </w:r>
        <w:r w:rsidR="008E458D" w:rsidRPr="00DC799B">
          <w:rPr>
            <w:rFonts w:ascii="FuturaBT Light" w:hAnsi="FuturaBT Light"/>
            <w:noProof/>
            <w:webHidden/>
            <w:sz w:val="16"/>
            <w:szCs w:val="16"/>
          </w:rPr>
        </w:r>
        <w:r w:rsidR="008E458D" w:rsidRPr="00DC799B">
          <w:rPr>
            <w:rFonts w:ascii="FuturaBT Light" w:hAnsi="FuturaBT Light"/>
            <w:noProof/>
            <w:webHidden/>
            <w:sz w:val="16"/>
            <w:szCs w:val="16"/>
          </w:rPr>
          <w:fldChar w:fldCharType="separate"/>
        </w:r>
        <w:r w:rsidR="003D389E">
          <w:rPr>
            <w:rFonts w:ascii="FuturaBT Light" w:hAnsi="FuturaBT Light"/>
            <w:noProof/>
            <w:webHidden/>
            <w:sz w:val="16"/>
            <w:szCs w:val="16"/>
          </w:rPr>
          <w:t>6</w:t>
        </w:r>
        <w:r w:rsidR="008E458D" w:rsidRPr="00DC799B">
          <w:rPr>
            <w:rFonts w:ascii="FuturaBT Light" w:hAnsi="FuturaBT Light"/>
            <w:noProof/>
            <w:webHidden/>
            <w:sz w:val="16"/>
            <w:szCs w:val="16"/>
          </w:rPr>
          <w:fldChar w:fldCharType="end"/>
        </w:r>
      </w:hyperlink>
    </w:p>
    <w:p w14:paraId="427903C3" w14:textId="7D218974" w:rsidR="008E458D" w:rsidRPr="00DC799B" w:rsidRDefault="00B85269" w:rsidP="00DC799B">
      <w:pPr>
        <w:pStyle w:val="TOC4"/>
        <w:tabs>
          <w:tab w:val="left" w:pos="2459"/>
          <w:tab w:val="right" w:pos="9016"/>
        </w:tabs>
        <w:ind w:left="1843"/>
        <w:rPr>
          <w:rFonts w:ascii="FuturaBT Light" w:eastAsiaTheme="minorEastAsia" w:hAnsi="FuturaBT Light" w:cstheme="minorBidi"/>
          <w:iCs w:val="0"/>
          <w:noProof/>
          <w:sz w:val="16"/>
          <w:szCs w:val="16"/>
          <w:lang w:eastAsia="nl-NL"/>
        </w:rPr>
      </w:pPr>
      <w:hyperlink w:anchor="_Toc100239848" w:history="1">
        <w:r w:rsidR="008E458D" w:rsidRPr="00DC799B">
          <w:rPr>
            <w:rStyle w:val="Hyperlink"/>
            <w:rFonts w:ascii="FuturaBT Light" w:hAnsi="FuturaBT Light"/>
            <w:noProof/>
            <w:sz w:val="16"/>
            <w:szCs w:val="16"/>
          </w:rPr>
          <w:t>3.3.1.2</w:t>
        </w:r>
        <w:r w:rsidR="008E458D" w:rsidRPr="00DC799B">
          <w:rPr>
            <w:rFonts w:ascii="FuturaBT Light" w:eastAsiaTheme="minorEastAsia" w:hAnsi="FuturaBT Light" w:cstheme="minorBidi"/>
            <w:iCs w:val="0"/>
            <w:noProof/>
            <w:sz w:val="16"/>
            <w:szCs w:val="16"/>
            <w:lang w:eastAsia="nl-NL"/>
          </w:rPr>
          <w:tab/>
        </w:r>
        <w:r w:rsidR="008E458D" w:rsidRPr="00DC799B">
          <w:rPr>
            <w:rStyle w:val="Hyperlink"/>
            <w:rFonts w:ascii="FuturaBT Light" w:hAnsi="FuturaBT Light"/>
            <w:noProof/>
            <w:sz w:val="16"/>
            <w:szCs w:val="16"/>
          </w:rPr>
          <w:t>Verloning starten op werkgever</w:t>
        </w:r>
        <w:r w:rsidR="008E458D" w:rsidRPr="00DC799B">
          <w:rPr>
            <w:rFonts w:ascii="FuturaBT Light" w:hAnsi="FuturaBT Light"/>
            <w:noProof/>
            <w:webHidden/>
            <w:sz w:val="16"/>
            <w:szCs w:val="16"/>
          </w:rPr>
          <w:tab/>
        </w:r>
        <w:r w:rsidR="008E458D" w:rsidRPr="00DC799B">
          <w:rPr>
            <w:rFonts w:ascii="FuturaBT Light" w:hAnsi="FuturaBT Light"/>
            <w:noProof/>
            <w:webHidden/>
            <w:sz w:val="16"/>
            <w:szCs w:val="16"/>
          </w:rPr>
          <w:fldChar w:fldCharType="begin"/>
        </w:r>
        <w:r w:rsidR="008E458D" w:rsidRPr="00DC799B">
          <w:rPr>
            <w:rFonts w:ascii="FuturaBT Light" w:hAnsi="FuturaBT Light"/>
            <w:noProof/>
            <w:webHidden/>
            <w:sz w:val="16"/>
            <w:szCs w:val="16"/>
          </w:rPr>
          <w:instrText xml:space="preserve"> PAGEREF _Toc100239848 \h </w:instrText>
        </w:r>
        <w:r w:rsidR="008E458D" w:rsidRPr="00DC799B">
          <w:rPr>
            <w:rFonts w:ascii="FuturaBT Light" w:hAnsi="FuturaBT Light"/>
            <w:noProof/>
            <w:webHidden/>
            <w:sz w:val="16"/>
            <w:szCs w:val="16"/>
          </w:rPr>
        </w:r>
        <w:r w:rsidR="008E458D" w:rsidRPr="00DC799B">
          <w:rPr>
            <w:rFonts w:ascii="FuturaBT Light" w:hAnsi="FuturaBT Light"/>
            <w:noProof/>
            <w:webHidden/>
            <w:sz w:val="16"/>
            <w:szCs w:val="16"/>
          </w:rPr>
          <w:fldChar w:fldCharType="separate"/>
        </w:r>
        <w:r w:rsidR="003D389E">
          <w:rPr>
            <w:rFonts w:ascii="FuturaBT Light" w:hAnsi="FuturaBT Light"/>
            <w:noProof/>
            <w:webHidden/>
            <w:sz w:val="16"/>
            <w:szCs w:val="16"/>
          </w:rPr>
          <w:t>7</w:t>
        </w:r>
        <w:r w:rsidR="008E458D" w:rsidRPr="00DC799B">
          <w:rPr>
            <w:rFonts w:ascii="FuturaBT Light" w:hAnsi="FuturaBT Light"/>
            <w:noProof/>
            <w:webHidden/>
            <w:sz w:val="16"/>
            <w:szCs w:val="16"/>
          </w:rPr>
          <w:fldChar w:fldCharType="end"/>
        </w:r>
      </w:hyperlink>
    </w:p>
    <w:p w14:paraId="37922AE1" w14:textId="310F225F" w:rsidR="008E458D" w:rsidRPr="00DC799B" w:rsidRDefault="00B85269" w:rsidP="00DC799B">
      <w:pPr>
        <w:pStyle w:val="TOC4"/>
        <w:tabs>
          <w:tab w:val="left" w:pos="2459"/>
          <w:tab w:val="right" w:pos="9016"/>
        </w:tabs>
        <w:ind w:left="1843"/>
        <w:rPr>
          <w:rFonts w:ascii="FuturaBT Light" w:eastAsiaTheme="minorEastAsia" w:hAnsi="FuturaBT Light" w:cstheme="minorBidi"/>
          <w:iCs w:val="0"/>
          <w:noProof/>
          <w:sz w:val="16"/>
          <w:szCs w:val="16"/>
          <w:lang w:eastAsia="nl-NL"/>
        </w:rPr>
      </w:pPr>
      <w:hyperlink w:anchor="_Toc100239849" w:history="1">
        <w:r w:rsidR="008E458D" w:rsidRPr="00DC799B">
          <w:rPr>
            <w:rStyle w:val="Hyperlink"/>
            <w:rFonts w:ascii="FuturaBT Light" w:hAnsi="FuturaBT Light"/>
            <w:noProof/>
            <w:sz w:val="16"/>
            <w:szCs w:val="16"/>
          </w:rPr>
          <w:t>3.3.1.3</w:t>
        </w:r>
        <w:r w:rsidR="008E458D" w:rsidRPr="00DC799B">
          <w:rPr>
            <w:rFonts w:ascii="FuturaBT Light" w:eastAsiaTheme="minorEastAsia" w:hAnsi="FuturaBT Light" w:cstheme="minorBidi"/>
            <w:iCs w:val="0"/>
            <w:noProof/>
            <w:sz w:val="16"/>
            <w:szCs w:val="16"/>
            <w:lang w:eastAsia="nl-NL"/>
          </w:rPr>
          <w:tab/>
        </w:r>
        <w:r w:rsidR="008E458D" w:rsidRPr="00DC799B">
          <w:rPr>
            <w:rStyle w:val="Hyperlink"/>
            <w:rFonts w:ascii="FuturaBT Light" w:hAnsi="FuturaBT Light"/>
            <w:noProof/>
            <w:sz w:val="16"/>
            <w:szCs w:val="16"/>
          </w:rPr>
          <w:t>Vaststellen en wijzigen voorschot uitkering</w:t>
        </w:r>
        <w:r w:rsidR="008E458D" w:rsidRPr="00DC799B">
          <w:rPr>
            <w:rFonts w:ascii="FuturaBT Light" w:hAnsi="FuturaBT Light"/>
            <w:noProof/>
            <w:webHidden/>
            <w:sz w:val="16"/>
            <w:szCs w:val="16"/>
          </w:rPr>
          <w:tab/>
        </w:r>
        <w:r w:rsidR="008E458D" w:rsidRPr="00DC799B">
          <w:rPr>
            <w:rFonts w:ascii="FuturaBT Light" w:hAnsi="FuturaBT Light"/>
            <w:noProof/>
            <w:webHidden/>
            <w:sz w:val="16"/>
            <w:szCs w:val="16"/>
          </w:rPr>
          <w:fldChar w:fldCharType="begin"/>
        </w:r>
        <w:r w:rsidR="008E458D" w:rsidRPr="00DC799B">
          <w:rPr>
            <w:rFonts w:ascii="FuturaBT Light" w:hAnsi="FuturaBT Light"/>
            <w:noProof/>
            <w:webHidden/>
            <w:sz w:val="16"/>
            <w:szCs w:val="16"/>
          </w:rPr>
          <w:instrText xml:space="preserve"> PAGEREF _Toc100239849 \h </w:instrText>
        </w:r>
        <w:r w:rsidR="008E458D" w:rsidRPr="00DC799B">
          <w:rPr>
            <w:rFonts w:ascii="FuturaBT Light" w:hAnsi="FuturaBT Light"/>
            <w:noProof/>
            <w:webHidden/>
            <w:sz w:val="16"/>
            <w:szCs w:val="16"/>
          </w:rPr>
        </w:r>
        <w:r w:rsidR="008E458D" w:rsidRPr="00DC799B">
          <w:rPr>
            <w:rFonts w:ascii="FuturaBT Light" w:hAnsi="FuturaBT Light"/>
            <w:noProof/>
            <w:webHidden/>
            <w:sz w:val="16"/>
            <w:szCs w:val="16"/>
          </w:rPr>
          <w:fldChar w:fldCharType="separate"/>
        </w:r>
        <w:r w:rsidR="003D389E">
          <w:rPr>
            <w:rFonts w:ascii="FuturaBT Light" w:hAnsi="FuturaBT Light"/>
            <w:noProof/>
            <w:webHidden/>
            <w:sz w:val="16"/>
            <w:szCs w:val="16"/>
          </w:rPr>
          <w:t>8</w:t>
        </w:r>
        <w:r w:rsidR="008E458D" w:rsidRPr="00DC799B">
          <w:rPr>
            <w:rFonts w:ascii="FuturaBT Light" w:hAnsi="FuturaBT Light"/>
            <w:noProof/>
            <w:webHidden/>
            <w:sz w:val="16"/>
            <w:szCs w:val="16"/>
          </w:rPr>
          <w:fldChar w:fldCharType="end"/>
        </w:r>
      </w:hyperlink>
    </w:p>
    <w:p w14:paraId="7D83C7CF" w14:textId="05C13A6F" w:rsidR="008E458D" w:rsidRPr="00DC799B" w:rsidRDefault="00B85269" w:rsidP="00DC799B">
      <w:pPr>
        <w:pStyle w:val="TOC4"/>
        <w:tabs>
          <w:tab w:val="left" w:pos="2459"/>
          <w:tab w:val="right" w:pos="9016"/>
        </w:tabs>
        <w:ind w:left="1843"/>
        <w:rPr>
          <w:rFonts w:ascii="FuturaBT Light" w:eastAsiaTheme="minorEastAsia" w:hAnsi="FuturaBT Light" w:cstheme="minorBidi"/>
          <w:iCs w:val="0"/>
          <w:noProof/>
          <w:sz w:val="16"/>
          <w:szCs w:val="16"/>
          <w:lang w:eastAsia="nl-NL"/>
        </w:rPr>
      </w:pPr>
      <w:hyperlink w:anchor="_Toc100239850" w:history="1">
        <w:r w:rsidR="008E458D" w:rsidRPr="00DC799B">
          <w:rPr>
            <w:rStyle w:val="Hyperlink"/>
            <w:rFonts w:ascii="FuturaBT Light" w:hAnsi="FuturaBT Light"/>
            <w:noProof/>
            <w:sz w:val="16"/>
            <w:szCs w:val="16"/>
          </w:rPr>
          <w:t>3.3.1.4</w:t>
        </w:r>
        <w:r w:rsidR="008E458D" w:rsidRPr="00DC799B">
          <w:rPr>
            <w:rFonts w:ascii="FuturaBT Light" w:eastAsiaTheme="minorEastAsia" w:hAnsi="FuturaBT Light" w:cstheme="minorBidi"/>
            <w:iCs w:val="0"/>
            <w:noProof/>
            <w:sz w:val="16"/>
            <w:szCs w:val="16"/>
            <w:lang w:eastAsia="nl-NL"/>
          </w:rPr>
          <w:tab/>
        </w:r>
        <w:r w:rsidR="008E458D" w:rsidRPr="00DC799B">
          <w:rPr>
            <w:rStyle w:val="Hyperlink"/>
            <w:rFonts w:ascii="FuturaBT Light" w:hAnsi="FuturaBT Light"/>
            <w:noProof/>
            <w:sz w:val="16"/>
            <w:szCs w:val="16"/>
          </w:rPr>
          <w:t>Vaststellen correctie naar aanleiding van DVU</w:t>
        </w:r>
        <w:r w:rsidR="008E458D" w:rsidRPr="00DC799B">
          <w:rPr>
            <w:rFonts w:ascii="FuturaBT Light" w:hAnsi="FuturaBT Light"/>
            <w:noProof/>
            <w:webHidden/>
            <w:sz w:val="16"/>
            <w:szCs w:val="16"/>
          </w:rPr>
          <w:tab/>
        </w:r>
        <w:r w:rsidR="008E458D" w:rsidRPr="00DC799B">
          <w:rPr>
            <w:rFonts w:ascii="FuturaBT Light" w:hAnsi="FuturaBT Light"/>
            <w:noProof/>
            <w:webHidden/>
            <w:sz w:val="16"/>
            <w:szCs w:val="16"/>
          </w:rPr>
          <w:fldChar w:fldCharType="begin"/>
        </w:r>
        <w:r w:rsidR="008E458D" w:rsidRPr="00DC799B">
          <w:rPr>
            <w:rFonts w:ascii="FuturaBT Light" w:hAnsi="FuturaBT Light"/>
            <w:noProof/>
            <w:webHidden/>
            <w:sz w:val="16"/>
            <w:szCs w:val="16"/>
          </w:rPr>
          <w:instrText xml:space="preserve"> PAGEREF _Toc100239850 \h </w:instrText>
        </w:r>
        <w:r w:rsidR="008E458D" w:rsidRPr="00DC799B">
          <w:rPr>
            <w:rFonts w:ascii="FuturaBT Light" w:hAnsi="FuturaBT Light"/>
            <w:noProof/>
            <w:webHidden/>
            <w:sz w:val="16"/>
            <w:szCs w:val="16"/>
          </w:rPr>
        </w:r>
        <w:r w:rsidR="008E458D" w:rsidRPr="00DC799B">
          <w:rPr>
            <w:rFonts w:ascii="FuturaBT Light" w:hAnsi="FuturaBT Light"/>
            <w:noProof/>
            <w:webHidden/>
            <w:sz w:val="16"/>
            <w:szCs w:val="16"/>
          </w:rPr>
          <w:fldChar w:fldCharType="separate"/>
        </w:r>
        <w:r w:rsidR="003D389E">
          <w:rPr>
            <w:rFonts w:ascii="FuturaBT Light" w:hAnsi="FuturaBT Light"/>
            <w:noProof/>
            <w:webHidden/>
            <w:sz w:val="16"/>
            <w:szCs w:val="16"/>
          </w:rPr>
          <w:t>10</w:t>
        </w:r>
        <w:r w:rsidR="008E458D" w:rsidRPr="00DC799B">
          <w:rPr>
            <w:rFonts w:ascii="FuturaBT Light" w:hAnsi="FuturaBT Light"/>
            <w:noProof/>
            <w:webHidden/>
            <w:sz w:val="16"/>
            <w:szCs w:val="16"/>
          </w:rPr>
          <w:fldChar w:fldCharType="end"/>
        </w:r>
      </w:hyperlink>
    </w:p>
    <w:p w14:paraId="43955ABE" w14:textId="43B1C15C" w:rsidR="008E458D" w:rsidRDefault="00B85269">
      <w:pPr>
        <w:pStyle w:val="TOC1"/>
        <w:rPr>
          <w:rFonts w:asciiTheme="minorHAnsi" w:eastAsiaTheme="minorEastAsia" w:hAnsiTheme="minorHAnsi" w:cstheme="minorBidi"/>
          <w:bCs w:val="0"/>
          <w:iCs w:val="0"/>
          <w:caps w:val="0"/>
          <w:sz w:val="22"/>
          <w:szCs w:val="22"/>
          <w:lang w:eastAsia="nl-NL"/>
        </w:rPr>
      </w:pPr>
      <w:hyperlink w:anchor="_Toc100239851" w:history="1">
        <w:r w:rsidR="008E458D" w:rsidRPr="00BB2C70">
          <w:rPr>
            <w:rStyle w:val="Hyperlink"/>
          </w:rPr>
          <w:t>4</w:t>
        </w:r>
        <w:r w:rsidR="008E458D">
          <w:rPr>
            <w:rFonts w:asciiTheme="minorHAnsi" w:eastAsiaTheme="minorEastAsia" w:hAnsiTheme="minorHAnsi" w:cstheme="minorBidi"/>
            <w:bCs w:val="0"/>
            <w:iCs w:val="0"/>
            <w:caps w:val="0"/>
            <w:sz w:val="22"/>
            <w:szCs w:val="22"/>
            <w:lang w:eastAsia="nl-NL"/>
          </w:rPr>
          <w:tab/>
        </w:r>
        <w:r w:rsidR="008E458D" w:rsidRPr="00BB2C70">
          <w:rPr>
            <w:rStyle w:val="Hyperlink"/>
          </w:rPr>
          <w:t>Integraties</w:t>
        </w:r>
        <w:r w:rsidR="008E458D">
          <w:rPr>
            <w:webHidden/>
          </w:rPr>
          <w:tab/>
        </w:r>
        <w:r w:rsidR="008E458D">
          <w:rPr>
            <w:webHidden/>
          </w:rPr>
          <w:fldChar w:fldCharType="begin"/>
        </w:r>
        <w:r w:rsidR="008E458D">
          <w:rPr>
            <w:webHidden/>
          </w:rPr>
          <w:instrText xml:space="preserve"> PAGEREF _Toc100239851 \h </w:instrText>
        </w:r>
        <w:r w:rsidR="008E458D">
          <w:rPr>
            <w:webHidden/>
          </w:rPr>
        </w:r>
        <w:r w:rsidR="008E458D">
          <w:rPr>
            <w:webHidden/>
          </w:rPr>
          <w:fldChar w:fldCharType="separate"/>
        </w:r>
        <w:r w:rsidR="003D389E">
          <w:rPr>
            <w:webHidden/>
          </w:rPr>
          <w:t>11</w:t>
        </w:r>
        <w:r w:rsidR="008E458D">
          <w:rPr>
            <w:webHidden/>
          </w:rPr>
          <w:fldChar w:fldCharType="end"/>
        </w:r>
      </w:hyperlink>
    </w:p>
    <w:p w14:paraId="53C6FF51" w14:textId="467159A1" w:rsidR="008E458D" w:rsidRDefault="00B85269">
      <w:pPr>
        <w:pStyle w:val="TOC2"/>
        <w:rPr>
          <w:rFonts w:asciiTheme="minorHAnsi" w:eastAsiaTheme="minorEastAsia" w:hAnsiTheme="minorHAnsi" w:cstheme="minorBidi"/>
          <w:noProof/>
          <w:sz w:val="22"/>
          <w:szCs w:val="22"/>
          <w:lang w:eastAsia="nl-NL"/>
        </w:rPr>
      </w:pPr>
      <w:hyperlink w:anchor="_Toc100239852" w:history="1">
        <w:r w:rsidR="008E458D" w:rsidRPr="00BB2C70">
          <w:rPr>
            <w:rStyle w:val="Hyperlink"/>
            <w:noProof/>
            <w14:scene3d>
              <w14:camera w14:prst="orthographicFront"/>
              <w14:lightRig w14:rig="threePt" w14:dir="t">
                <w14:rot w14:lat="0" w14:lon="0" w14:rev="0"/>
              </w14:lightRig>
            </w14:scene3d>
          </w:rPr>
          <w:t>4.1</w:t>
        </w:r>
        <w:r w:rsidR="008E458D">
          <w:rPr>
            <w:rFonts w:asciiTheme="minorHAnsi" w:eastAsiaTheme="minorEastAsia" w:hAnsiTheme="minorHAnsi" w:cstheme="minorBidi"/>
            <w:noProof/>
            <w:sz w:val="22"/>
            <w:szCs w:val="22"/>
            <w:lang w:eastAsia="nl-NL"/>
          </w:rPr>
          <w:tab/>
        </w:r>
        <w:r w:rsidR="008E458D" w:rsidRPr="00BB2C70">
          <w:rPr>
            <w:rStyle w:val="Hyperlink"/>
            <w:noProof/>
          </w:rPr>
          <w:t>XS Connect</w:t>
        </w:r>
        <w:r w:rsidR="008E458D">
          <w:rPr>
            <w:noProof/>
            <w:webHidden/>
          </w:rPr>
          <w:tab/>
        </w:r>
        <w:r w:rsidR="008E458D">
          <w:rPr>
            <w:noProof/>
            <w:webHidden/>
          </w:rPr>
          <w:fldChar w:fldCharType="begin"/>
        </w:r>
        <w:r w:rsidR="008E458D">
          <w:rPr>
            <w:noProof/>
            <w:webHidden/>
          </w:rPr>
          <w:instrText xml:space="preserve"> PAGEREF _Toc100239852 \h </w:instrText>
        </w:r>
        <w:r w:rsidR="008E458D">
          <w:rPr>
            <w:noProof/>
            <w:webHidden/>
          </w:rPr>
        </w:r>
        <w:r w:rsidR="008E458D">
          <w:rPr>
            <w:noProof/>
            <w:webHidden/>
          </w:rPr>
          <w:fldChar w:fldCharType="separate"/>
        </w:r>
        <w:r w:rsidR="003D389E">
          <w:rPr>
            <w:noProof/>
            <w:webHidden/>
          </w:rPr>
          <w:t>11</w:t>
        </w:r>
        <w:r w:rsidR="008E458D">
          <w:rPr>
            <w:noProof/>
            <w:webHidden/>
          </w:rPr>
          <w:fldChar w:fldCharType="end"/>
        </w:r>
      </w:hyperlink>
    </w:p>
    <w:p w14:paraId="143DAD88" w14:textId="56F99679" w:rsidR="008E458D" w:rsidRDefault="00B85269">
      <w:pPr>
        <w:pStyle w:val="TOC3"/>
        <w:tabs>
          <w:tab w:val="left" w:pos="2459"/>
        </w:tabs>
        <w:rPr>
          <w:rFonts w:asciiTheme="minorHAnsi" w:eastAsiaTheme="minorEastAsia" w:hAnsiTheme="minorHAnsi" w:cstheme="minorBidi"/>
          <w:iCs w:val="0"/>
          <w:sz w:val="22"/>
          <w:szCs w:val="22"/>
          <w:lang w:eastAsia="nl-NL"/>
        </w:rPr>
      </w:pPr>
      <w:hyperlink w:anchor="_Toc100239853" w:history="1">
        <w:r w:rsidR="008E458D" w:rsidRPr="00BB2C70">
          <w:rPr>
            <w:rStyle w:val="Hyperlink"/>
            <w:lang w:eastAsia="nl-NL"/>
          </w:rPr>
          <w:t>4.1.1</w:t>
        </w:r>
        <w:r w:rsidR="008E458D">
          <w:rPr>
            <w:rFonts w:asciiTheme="minorHAnsi" w:eastAsiaTheme="minorEastAsia" w:hAnsiTheme="minorHAnsi" w:cstheme="minorBidi"/>
            <w:iCs w:val="0"/>
            <w:sz w:val="22"/>
            <w:szCs w:val="22"/>
            <w:lang w:eastAsia="nl-NL"/>
          </w:rPr>
          <w:tab/>
        </w:r>
        <w:r w:rsidR="008E458D" w:rsidRPr="00BB2C70">
          <w:rPr>
            <w:rStyle w:val="Hyperlink"/>
            <w:lang w:eastAsia="nl-NL"/>
          </w:rPr>
          <w:t>Standaard export alle WVP- en zwangerschapsverloftrajecten</w:t>
        </w:r>
        <w:r w:rsidR="008E458D">
          <w:rPr>
            <w:webHidden/>
          </w:rPr>
          <w:tab/>
        </w:r>
        <w:r w:rsidR="008E458D">
          <w:rPr>
            <w:webHidden/>
          </w:rPr>
          <w:fldChar w:fldCharType="begin"/>
        </w:r>
        <w:r w:rsidR="008E458D">
          <w:rPr>
            <w:webHidden/>
          </w:rPr>
          <w:instrText xml:space="preserve"> PAGEREF _Toc100239853 \h </w:instrText>
        </w:r>
        <w:r w:rsidR="008E458D">
          <w:rPr>
            <w:webHidden/>
          </w:rPr>
        </w:r>
        <w:r w:rsidR="008E458D">
          <w:rPr>
            <w:webHidden/>
          </w:rPr>
          <w:fldChar w:fldCharType="separate"/>
        </w:r>
        <w:r w:rsidR="003D389E">
          <w:rPr>
            <w:webHidden/>
          </w:rPr>
          <w:t>11</w:t>
        </w:r>
        <w:r w:rsidR="008E458D">
          <w:rPr>
            <w:webHidden/>
          </w:rPr>
          <w:fldChar w:fldCharType="end"/>
        </w:r>
      </w:hyperlink>
    </w:p>
    <w:p w14:paraId="1D36EB7D" w14:textId="0A264D76" w:rsidR="008E458D" w:rsidRDefault="00B85269">
      <w:pPr>
        <w:pStyle w:val="TOC3"/>
        <w:tabs>
          <w:tab w:val="left" w:pos="2459"/>
        </w:tabs>
        <w:rPr>
          <w:rFonts w:asciiTheme="minorHAnsi" w:eastAsiaTheme="minorEastAsia" w:hAnsiTheme="minorHAnsi" w:cstheme="minorBidi"/>
          <w:iCs w:val="0"/>
          <w:sz w:val="22"/>
          <w:szCs w:val="22"/>
          <w:lang w:eastAsia="nl-NL"/>
        </w:rPr>
      </w:pPr>
      <w:hyperlink w:anchor="_Toc100239854" w:history="1">
        <w:r w:rsidR="008E458D" w:rsidRPr="00BB2C70">
          <w:rPr>
            <w:rStyle w:val="Hyperlink"/>
            <w:lang w:eastAsia="nl-NL"/>
          </w:rPr>
          <w:t>4.1.2</w:t>
        </w:r>
        <w:r w:rsidR="008E458D">
          <w:rPr>
            <w:rFonts w:asciiTheme="minorHAnsi" w:eastAsiaTheme="minorEastAsia" w:hAnsiTheme="minorHAnsi" w:cstheme="minorBidi"/>
            <w:iCs w:val="0"/>
            <w:sz w:val="22"/>
            <w:szCs w:val="22"/>
            <w:lang w:eastAsia="nl-NL"/>
          </w:rPr>
          <w:tab/>
        </w:r>
        <w:r w:rsidR="008E458D" w:rsidRPr="00BB2C70">
          <w:rPr>
            <w:rStyle w:val="Hyperlink"/>
            <w:lang w:eastAsia="nl-NL"/>
          </w:rPr>
          <w:t>Leidinggevende gebruikersautorisaties werkgeveroverstijgend bij AFAS-koppelingen</w:t>
        </w:r>
        <w:r w:rsidR="008E458D">
          <w:rPr>
            <w:webHidden/>
          </w:rPr>
          <w:tab/>
        </w:r>
        <w:r w:rsidR="008E458D">
          <w:rPr>
            <w:webHidden/>
          </w:rPr>
          <w:fldChar w:fldCharType="begin"/>
        </w:r>
        <w:r w:rsidR="008E458D">
          <w:rPr>
            <w:webHidden/>
          </w:rPr>
          <w:instrText xml:space="preserve"> PAGEREF _Toc100239854 \h </w:instrText>
        </w:r>
        <w:r w:rsidR="008E458D">
          <w:rPr>
            <w:webHidden/>
          </w:rPr>
        </w:r>
        <w:r w:rsidR="008E458D">
          <w:rPr>
            <w:webHidden/>
          </w:rPr>
          <w:fldChar w:fldCharType="separate"/>
        </w:r>
        <w:r w:rsidR="003D389E">
          <w:rPr>
            <w:webHidden/>
          </w:rPr>
          <w:t>11</w:t>
        </w:r>
        <w:r w:rsidR="008E458D">
          <w:rPr>
            <w:webHidden/>
          </w:rPr>
          <w:fldChar w:fldCharType="end"/>
        </w:r>
      </w:hyperlink>
    </w:p>
    <w:p w14:paraId="5EF4CCE9" w14:textId="299DF083" w:rsidR="008E458D" w:rsidRDefault="00B85269">
      <w:pPr>
        <w:pStyle w:val="TOC3"/>
        <w:tabs>
          <w:tab w:val="left" w:pos="2459"/>
        </w:tabs>
        <w:rPr>
          <w:rFonts w:asciiTheme="minorHAnsi" w:eastAsiaTheme="minorEastAsia" w:hAnsiTheme="minorHAnsi" w:cstheme="minorBidi"/>
          <w:iCs w:val="0"/>
          <w:sz w:val="22"/>
          <w:szCs w:val="22"/>
          <w:lang w:eastAsia="nl-NL"/>
        </w:rPr>
      </w:pPr>
      <w:hyperlink w:anchor="_Toc100239855" w:history="1">
        <w:r w:rsidR="008E458D" w:rsidRPr="00BB2C70">
          <w:rPr>
            <w:rStyle w:val="Hyperlink"/>
            <w:lang w:eastAsia="nl-NL"/>
          </w:rPr>
          <w:t>4.1.3</w:t>
        </w:r>
        <w:r w:rsidR="008E458D">
          <w:rPr>
            <w:rFonts w:asciiTheme="minorHAnsi" w:eastAsiaTheme="minorEastAsia" w:hAnsiTheme="minorHAnsi" w:cstheme="minorBidi"/>
            <w:iCs w:val="0"/>
            <w:sz w:val="22"/>
            <w:szCs w:val="22"/>
            <w:lang w:eastAsia="nl-NL"/>
          </w:rPr>
          <w:tab/>
        </w:r>
        <w:r w:rsidR="008E458D" w:rsidRPr="00BB2C70">
          <w:rPr>
            <w:rStyle w:val="Hyperlink"/>
            <w:lang w:eastAsia="nl-NL"/>
          </w:rPr>
          <w:t>SIVI2021 Verzuimbericht</w:t>
        </w:r>
        <w:r w:rsidR="008E458D">
          <w:rPr>
            <w:webHidden/>
          </w:rPr>
          <w:tab/>
        </w:r>
        <w:r w:rsidR="008E458D">
          <w:rPr>
            <w:webHidden/>
          </w:rPr>
          <w:fldChar w:fldCharType="begin"/>
        </w:r>
        <w:r w:rsidR="008E458D">
          <w:rPr>
            <w:webHidden/>
          </w:rPr>
          <w:instrText xml:space="preserve"> PAGEREF _Toc100239855 \h </w:instrText>
        </w:r>
        <w:r w:rsidR="008E458D">
          <w:rPr>
            <w:webHidden/>
          </w:rPr>
        </w:r>
        <w:r w:rsidR="008E458D">
          <w:rPr>
            <w:webHidden/>
          </w:rPr>
          <w:fldChar w:fldCharType="separate"/>
        </w:r>
        <w:r w:rsidR="003D389E">
          <w:rPr>
            <w:webHidden/>
          </w:rPr>
          <w:t>12</w:t>
        </w:r>
        <w:r w:rsidR="008E458D">
          <w:rPr>
            <w:webHidden/>
          </w:rPr>
          <w:fldChar w:fldCharType="end"/>
        </w:r>
      </w:hyperlink>
    </w:p>
    <w:p w14:paraId="7065F0D1" w14:textId="1EB0F465" w:rsidR="008E458D" w:rsidRDefault="00B85269">
      <w:pPr>
        <w:pStyle w:val="TOC3"/>
        <w:tabs>
          <w:tab w:val="left" w:pos="2459"/>
        </w:tabs>
        <w:rPr>
          <w:rFonts w:asciiTheme="minorHAnsi" w:eastAsiaTheme="minorEastAsia" w:hAnsiTheme="minorHAnsi" w:cstheme="minorBidi"/>
          <w:iCs w:val="0"/>
          <w:sz w:val="22"/>
          <w:szCs w:val="22"/>
          <w:lang w:eastAsia="nl-NL"/>
        </w:rPr>
      </w:pPr>
      <w:hyperlink w:anchor="_Toc100239856" w:history="1">
        <w:r w:rsidR="008E458D" w:rsidRPr="00BB2C70">
          <w:rPr>
            <w:rStyle w:val="Hyperlink"/>
            <w:lang w:eastAsia="nl-NL"/>
          </w:rPr>
          <w:t>4.1.4</w:t>
        </w:r>
        <w:r w:rsidR="008E458D">
          <w:rPr>
            <w:rFonts w:asciiTheme="minorHAnsi" w:eastAsiaTheme="minorEastAsia" w:hAnsiTheme="minorHAnsi" w:cstheme="minorBidi"/>
            <w:iCs w:val="0"/>
            <w:sz w:val="22"/>
            <w:szCs w:val="22"/>
            <w:lang w:eastAsia="nl-NL"/>
          </w:rPr>
          <w:tab/>
        </w:r>
        <w:r w:rsidR="008E458D" w:rsidRPr="00BB2C70">
          <w:rPr>
            <w:rStyle w:val="Hyperlink"/>
            <w:lang w:eastAsia="nl-NL"/>
          </w:rPr>
          <w:t>Toevoeging SIVI2017 Medewerker en SIVI2017 Werkgever template</w:t>
        </w:r>
        <w:r w:rsidR="008E458D">
          <w:rPr>
            <w:webHidden/>
          </w:rPr>
          <w:tab/>
        </w:r>
        <w:r w:rsidR="008E458D">
          <w:rPr>
            <w:webHidden/>
          </w:rPr>
          <w:fldChar w:fldCharType="begin"/>
        </w:r>
        <w:r w:rsidR="008E458D">
          <w:rPr>
            <w:webHidden/>
          </w:rPr>
          <w:instrText xml:space="preserve"> PAGEREF _Toc100239856 \h </w:instrText>
        </w:r>
        <w:r w:rsidR="008E458D">
          <w:rPr>
            <w:webHidden/>
          </w:rPr>
        </w:r>
        <w:r w:rsidR="008E458D">
          <w:rPr>
            <w:webHidden/>
          </w:rPr>
          <w:fldChar w:fldCharType="separate"/>
        </w:r>
        <w:r w:rsidR="003D389E">
          <w:rPr>
            <w:webHidden/>
          </w:rPr>
          <w:t>12</w:t>
        </w:r>
        <w:r w:rsidR="008E458D">
          <w:rPr>
            <w:webHidden/>
          </w:rPr>
          <w:fldChar w:fldCharType="end"/>
        </w:r>
      </w:hyperlink>
    </w:p>
    <w:p w14:paraId="11D46A87" w14:textId="6185B895" w:rsidR="008E458D" w:rsidRDefault="00B85269">
      <w:pPr>
        <w:pStyle w:val="TOC3"/>
        <w:tabs>
          <w:tab w:val="left" w:pos="2459"/>
        </w:tabs>
        <w:rPr>
          <w:rFonts w:asciiTheme="minorHAnsi" w:eastAsiaTheme="minorEastAsia" w:hAnsiTheme="minorHAnsi" w:cstheme="minorBidi"/>
          <w:iCs w:val="0"/>
          <w:sz w:val="22"/>
          <w:szCs w:val="22"/>
          <w:lang w:eastAsia="nl-NL"/>
        </w:rPr>
      </w:pPr>
      <w:hyperlink w:anchor="_Toc100239857" w:history="1">
        <w:r w:rsidR="008E458D" w:rsidRPr="00BB2C70">
          <w:rPr>
            <w:rStyle w:val="Hyperlink"/>
            <w:lang w:eastAsia="nl-NL"/>
          </w:rPr>
          <w:t>4.1.5</w:t>
        </w:r>
        <w:r w:rsidR="008E458D">
          <w:rPr>
            <w:rFonts w:asciiTheme="minorHAnsi" w:eastAsiaTheme="minorEastAsia" w:hAnsiTheme="minorHAnsi" w:cstheme="minorBidi"/>
            <w:iCs w:val="0"/>
            <w:sz w:val="22"/>
            <w:szCs w:val="22"/>
            <w:lang w:eastAsia="nl-NL"/>
          </w:rPr>
          <w:tab/>
        </w:r>
        <w:r w:rsidR="008E458D" w:rsidRPr="00BB2C70">
          <w:rPr>
            <w:rStyle w:val="Hyperlink"/>
            <w:lang w:eastAsia="nl-NL"/>
          </w:rPr>
          <w:t>SIVI2017 documenten export VrzmgvlId toegevoegd</w:t>
        </w:r>
        <w:r w:rsidR="008E458D">
          <w:rPr>
            <w:webHidden/>
          </w:rPr>
          <w:tab/>
        </w:r>
        <w:r w:rsidR="008E458D">
          <w:rPr>
            <w:webHidden/>
          </w:rPr>
          <w:fldChar w:fldCharType="begin"/>
        </w:r>
        <w:r w:rsidR="008E458D">
          <w:rPr>
            <w:webHidden/>
          </w:rPr>
          <w:instrText xml:space="preserve"> PAGEREF _Toc100239857 \h </w:instrText>
        </w:r>
        <w:r w:rsidR="008E458D">
          <w:rPr>
            <w:webHidden/>
          </w:rPr>
        </w:r>
        <w:r w:rsidR="008E458D">
          <w:rPr>
            <w:webHidden/>
          </w:rPr>
          <w:fldChar w:fldCharType="separate"/>
        </w:r>
        <w:r w:rsidR="003D389E">
          <w:rPr>
            <w:webHidden/>
          </w:rPr>
          <w:t>13</w:t>
        </w:r>
        <w:r w:rsidR="008E458D">
          <w:rPr>
            <w:webHidden/>
          </w:rPr>
          <w:fldChar w:fldCharType="end"/>
        </w:r>
      </w:hyperlink>
    </w:p>
    <w:p w14:paraId="1D078666" w14:textId="434BC374" w:rsidR="008E458D" w:rsidRDefault="00B85269">
      <w:pPr>
        <w:pStyle w:val="TOC3"/>
        <w:tabs>
          <w:tab w:val="left" w:pos="2459"/>
        </w:tabs>
        <w:rPr>
          <w:rFonts w:asciiTheme="minorHAnsi" w:eastAsiaTheme="minorEastAsia" w:hAnsiTheme="minorHAnsi" w:cstheme="minorBidi"/>
          <w:iCs w:val="0"/>
          <w:sz w:val="22"/>
          <w:szCs w:val="22"/>
          <w:lang w:eastAsia="nl-NL"/>
        </w:rPr>
      </w:pPr>
      <w:hyperlink w:anchor="_Toc100239858" w:history="1">
        <w:r w:rsidR="008E458D" w:rsidRPr="00BB2C70">
          <w:rPr>
            <w:rStyle w:val="Hyperlink"/>
            <w:lang w:eastAsia="nl-NL"/>
          </w:rPr>
          <w:t>4.1.6</w:t>
        </w:r>
        <w:r w:rsidR="008E458D">
          <w:rPr>
            <w:rFonts w:asciiTheme="minorHAnsi" w:eastAsiaTheme="minorEastAsia" w:hAnsiTheme="minorHAnsi" w:cstheme="minorBidi"/>
            <w:iCs w:val="0"/>
            <w:sz w:val="22"/>
            <w:szCs w:val="22"/>
            <w:lang w:eastAsia="nl-NL"/>
          </w:rPr>
          <w:tab/>
        </w:r>
        <w:r w:rsidR="008E458D" w:rsidRPr="00BB2C70">
          <w:rPr>
            <w:rStyle w:val="Hyperlink"/>
            <w:lang w:eastAsia="nl-NL"/>
          </w:rPr>
          <w:t>Standaard gebruikersimport</w:t>
        </w:r>
        <w:r w:rsidR="008E458D">
          <w:rPr>
            <w:webHidden/>
          </w:rPr>
          <w:tab/>
        </w:r>
        <w:r w:rsidR="008E458D">
          <w:rPr>
            <w:webHidden/>
          </w:rPr>
          <w:fldChar w:fldCharType="begin"/>
        </w:r>
        <w:r w:rsidR="008E458D">
          <w:rPr>
            <w:webHidden/>
          </w:rPr>
          <w:instrText xml:space="preserve"> PAGEREF _Toc100239858 \h </w:instrText>
        </w:r>
        <w:r w:rsidR="008E458D">
          <w:rPr>
            <w:webHidden/>
          </w:rPr>
        </w:r>
        <w:r w:rsidR="008E458D">
          <w:rPr>
            <w:webHidden/>
          </w:rPr>
          <w:fldChar w:fldCharType="separate"/>
        </w:r>
        <w:r w:rsidR="003D389E">
          <w:rPr>
            <w:webHidden/>
          </w:rPr>
          <w:t>13</w:t>
        </w:r>
        <w:r w:rsidR="008E458D">
          <w:rPr>
            <w:webHidden/>
          </w:rPr>
          <w:fldChar w:fldCharType="end"/>
        </w:r>
      </w:hyperlink>
    </w:p>
    <w:p w14:paraId="794679B4" w14:textId="44BBCA3A"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100239834"/>
      <w:bookmarkEnd w:id="0"/>
      <w:bookmarkEnd w:id="1"/>
      <w:r>
        <w:lastRenderedPageBreak/>
        <w:t>Algemeen</w:t>
      </w:r>
      <w:bookmarkEnd w:id="2"/>
    </w:p>
    <w:p w14:paraId="5A5B2EC5" w14:textId="074C3848" w:rsidR="000F3781" w:rsidRPr="00992AEE" w:rsidRDefault="00992AEE" w:rsidP="000F3781">
      <w:pPr>
        <w:rPr>
          <w:rFonts w:ascii="Segoe UI Emoji" w:hAnsi="Segoe UI Emoji" w:cs="Segoe UI Emoji"/>
        </w:rPr>
      </w:pPr>
      <w:r w:rsidRPr="00992AEE">
        <w:t>Woensdag 13 april</w:t>
      </w:r>
      <w:r w:rsidR="000F3781" w:rsidRPr="00992AEE">
        <w:t xml:space="preserve"> nemen we weer een release van de Xpert Suite in productie met een aantal bugfixes en functionele wijzigingen. Mocht je nog vragen hebben na het lezen van deze release note, neem dan contact op met de Xpert Desk. Veel leesplezier</w:t>
      </w:r>
      <w:r w:rsidR="000F3781" w:rsidRPr="00992AEE">
        <w:rPr>
          <w:rFonts w:ascii="Segoe UI Emoji" w:hAnsi="Segoe UI Emoji" w:cs="Segoe UI Emoji"/>
        </w:rPr>
        <w:t>!</w:t>
      </w:r>
    </w:p>
    <w:p w14:paraId="485BE516" w14:textId="77777777" w:rsidR="000F3781" w:rsidRPr="00992AEE" w:rsidRDefault="000F3781" w:rsidP="000F3781">
      <w:pPr>
        <w:rPr>
          <w:rFonts w:ascii="Segoe UI Emoji" w:hAnsi="Segoe UI Emoji" w:cs="Segoe UI Emoji"/>
        </w:rPr>
      </w:pPr>
    </w:p>
    <w:p w14:paraId="78FCC4C3" w14:textId="1B80AD96" w:rsidR="0015473B" w:rsidRPr="0020049B" w:rsidRDefault="009E3D8A" w:rsidP="00974680">
      <w:r w:rsidRPr="00992AEE">
        <w:t>Volgende</w:t>
      </w:r>
      <w:r w:rsidR="00B96361" w:rsidRPr="00992AEE">
        <w:t xml:space="preserve"> geplande</w:t>
      </w:r>
      <w:r w:rsidRPr="00992AEE">
        <w:t xml:space="preserve"> release: </w:t>
      </w:r>
      <w:r w:rsidR="00BD44E4" w:rsidRPr="00992AEE">
        <w:t xml:space="preserve">woensdag </w:t>
      </w:r>
      <w:r w:rsidR="00992AEE" w:rsidRPr="00992AEE">
        <w:t>4 mei</w:t>
      </w:r>
      <w:r w:rsidR="00FD6B8E" w:rsidRPr="00992AEE">
        <w:t xml:space="preserve"> </w:t>
      </w:r>
      <w:r w:rsidR="0020049B" w:rsidRPr="00992AEE">
        <w:t>(d</w:t>
      </w:r>
      <w:r w:rsidR="00956C02" w:rsidRPr="00992AEE">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100239835"/>
      <w:r>
        <w:t>Basis Xpert Suite</w:t>
      </w:r>
      <w:bookmarkEnd w:id="4"/>
    </w:p>
    <w:p w14:paraId="78CB1A14" w14:textId="4ACBF5DF" w:rsidR="00B07BC0" w:rsidRDefault="00B5699B" w:rsidP="005F2418">
      <w:pPr>
        <w:pStyle w:val="Heading2"/>
        <w:rPr>
          <w:iCs w:val="0"/>
          <w:lang w:eastAsia="nl-NL"/>
        </w:rPr>
      </w:pPr>
      <w:bookmarkStart w:id="5" w:name="_Aangepaste_SMS-code_bij"/>
      <w:bookmarkStart w:id="6" w:name="_Toc100239836"/>
      <w:bookmarkEnd w:id="5"/>
      <w:r>
        <w:rPr>
          <w:iCs w:val="0"/>
          <w:lang w:eastAsia="nl-NL"/>
        </w:rPr>
        <w:t>XS Beheer</w:t>
      </w:r>
      <w:bookmarkEnd w:id="6"/>
    </w:p>
    <w:p w14:paraId="71BEB706" w14:textId="77777777" w:rsidR="00782D5E" w:rsidRDefault="00782D5E" w:rsidP="00782D5E">
      <w:pPr>
        <w:pStyle w:val="Heading3"/>
      </w:pPr>
      <w:bookmarkStart w:id="7" w:name="_Toc100239837"/>
      <w:r>
        <w:t>Nieuwe triggervoorwaarde: Traject heeft status ‘uitsluiten van uitkering’</w:t>
      </w:r>
      <w:bookmarkEnd w:id="7"/>
    </w:p>
    <w:p w14:paraId="3C8060B5" w14:textId="6148826D" w:rsidR="00782D5E" w:rsidRDefault="00782D5E" w:rsidP="00782D5E">
      <w:r>
        <w:t>Er is een nieuwe triggervoorwaarde toegevoegd. Hiermee wordt de mogelijkheid om triggers in te kunnen richten rondom verzuim en verzekeringen uitgebreid. De toegevoegde triggervoorwaarde is:</w:t>
      </w:r>
    </w:p>
    <w:p w14:paraId="240ADF97" w14:textId="77777777" w:rsidR="00782D5E" w:rsidRDefault="00782D5E" w:rsidP="00782D5E">
      <w:pPr>
        <w:pStyle w:val="ListParagraph"/>
      </w:pPr>
      <w:r>
        <w:t>'Traject heeft status ‘Uitsluiten van uitkering’'</w:t>
      </w:r>
    </w:p>
    <w:p w14:paraId="5030638B" w14:textId="782A0D1D" w:rsidR="00782D5E" w:rsidRDefault="00782D5E" w:rsidP="00782D5E">
      <w:r>
        <w:br/>
        <w:t>In de context van een verzuimtraject kan met deze triggervoorwaarde een actie worden ingericht om uit te voeren, zodra een traject voldoet aan de status 'uitsluiten van uitkering'. Deze status kan via een vinkje worden toegekend aan een verzuimtraject bij het maken van een ziekmelding of een (gedeeltelijke) herstelmelding:</w:t>
      </w:r>
    </w:p>
    <w:p w14:paraId="6B67B478" w14:textId="77777777" w:rsidR="00782D5E" w:rsidRDefault="00782D5E" w:rsidP="00782D5E"/>
    <w:p w14:paraId="04834BCB" w14:textId="77777777" w:rsidR="00782D5E" w:rsidRPr="000E550B" w:rsidRDefault="00782D5E" w:rsidP="00782D5E">
      <w:r>
        <w:rPr>
          <w:iCs w:val="0"/>
          <w:noProof/>
        </w:rPr>
        <w:drawing>
          <wp:inline distT="0" distB="0" distL="0" distR="0" wp14:anchorId="3BFF6950" wp14:editId="5077EF3D">
            <wp:extent cx="4226943" cy="1054869"/>
            <wp:effectExtent l="0" t="0" r="2540" b="0"/>
            <wp:docPr id="4" name="Afbeelding 1"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 descr="Graphical user interface, text, application, email,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272" cy="1059194"/>
                    </a:xfrm>
                    <a:prstGeom prst="rect">
                      <a:avLst/>
                    </a:prstGeom>
                    <a:noFill/>
                    <a:ln>
                      <a:noFill/>
                    </a:ln>
                  </pic:spPr>
                </pic:pic>
              </a:graphicData>
            </a:graphic>
          </wp:inline>
        </w:drawing>
      </w:r>
    </w:p>
    <w:p w14:paraId="5961C566" w14:textId="77777777" w:rsidR="00770793" w:rsidRPr="00020ECC" w:rsidRDefault="00770793" w:rsidP="00020ECC">
      <w:pPr>
        <w:rPr>
          <w:lang w:eastAsia="nl-NL"/>
        </w:rPr>
      </w:pPr>
    </w:p>
    <w:p w14:paraId="75954C4B" w14:textId="37E51D2D" w:rsidR="006459AF" w:rsidRDefault="00B5699B" w:rsidP="00C867C0">
      <w:pPr>
        <w:pStyle w:val="Heading2"/>
      </w:pPr>
      <w:bookmarkStart w:id="8" w:name="_Widgets_frequent_en"/>
      <w:bookmarkStart w:id="9" w:name="_Toc100239838"/>
      <w:bookmarkEnd w:id="8"/>
      <w:r>
        <w:t xml:space="preserve">XS </w:t>
      </w:r>
      <w:r w:rsidR="00770793">
        <w:t>G</w:t>
      </w:r>
      <w:r>
        <w:t>ebruiker</w:t>
      </w:r>
      <w:bookmarkEnd w:id="9"/>
    </w:p>
    <w:p w14:paraId="7792BCDE" w14:textId="60835505" w:rsidR="00201CF2" w:rsidRPr="001E40C9" w:rsidRDefault="00201CF2" w:rsidP="00201CF2">
      <w:pPr>
        <w:pStyle w:val="Heading3"/>
      </w:pPr>
      <w:bookmarkStart w:id="10" w:name="_Toc100239839"/>
      <w:r>
        <w:t>Veilig communiceren - Verbeteringen aan Werknemer</w:t>
      </w:r>
      <w:r w:rsidR="008747EB">
        <w:t>-</w:t>
      </w:r>
      <w:r w:rsidRPr="00210A85">
        <w:t>deelnemers</w:t>
      </w:r>
      <w:bookmarkEnd w:id="10"/>
    </w:p>
    <w:p w14:paraId="53648A2F" w14:textId="2E70C495" w:rsidR="00201CF2" w:rsidRDefault="008747EB" w:rsidP="00201CF2">
      <w:r>
        <w:t>Binnen Veilig Communiceren kan een dialoog gestart worden met een werknemer. Echter, w</w:t>
      </w:r>
      <w:r w:rsidR="00201CF2">
        <w:t xml:space="preserve">anneer het e-mailadres van de werknemer </w:t>
      </w:r>
      <w:r>
        <w:t>werd</w:t>
      </w:r>
      <w:r w:rsidR="00201CF2">
        <w:t xml:space="preserve"> aangepast,</w:t>
      </w:r>
      <w:r>
        <w:t xml:space="preserve"> kon het technisch mis gaan </w:t>
      </w:r>
      <w:r w:rsidR="00201CF2">
        <w:t>met de</w:t>
      </w:r>
      <w:r>
        <w:t xml:space="preserve"> bestaande</w:t>
      </w:r>
      <w:r w:rsidR="00201CF2">
        <w:t xml:space="preserve"> dialogen van d</w:t>
      </w:r>
      <w:r>
        <w:t>i</w:t>
      </w:r>
      <w:r w:rsidR="00201CF2">
        <w:t xml:space="preserve">e werknemer. In deze release hebben we </w:t>
      </w:r>
      <w:r>
        <w:t xml:space="preserve">een aanpassing doorgevoerd zodat – wanneer </w:t>
      </w:r>
      <w:r w:rsidR="00F00C28">
        <w:t xml:space="preserve">bij </w:t>
      </w:r>
      <w:r>
        <w:t xml:space="preserve">de </w:t>
      </w:r>
      <w:r w:rsidR="00201CF2">
        <w:t xml:space="preserve">gegevens van de werknemer </w:t>
      </w:r>
      <w:r w:rsidR="00F00C28">
        <w:t xml:space="preserve">het e-mailadres wordt </w:t>
      </w:r>
      <w:r w:rsidR="00201CF2">
        <w:t>aanpast</w:t>
      </w:r>
      <w:r w:rsidR="00F00C28">
        <w:t xml:space="preserve"> - </w:t>
      </w:r>
      <w:r w:rsidR="00201CF2">
        <w:t xml:space="preserve">er een nieuwe deelnemer wordt aangemaakt met de nieuwe gegevens van de werknemer. </w:t>
      </w:r>
    </w:p>
    <w:p w14:paraId="53160F74" w14:textId="77777777" w:rsidR="00201CF2" w:rsidRDefault="00201CF2" w:rsidP="00201CF2">
      <w:pPr>
        <w:pStyle w:val="NoSpacing"/>
      </w:pPr>
    </w:p>
    <w:p w14:paraId="105BC1F1" w14:textId="08A72C2D" w:rsidR="00201CF2" w:rsidRDefault="00201CF2" w:rsidP="00201CF2">
      <w:r>
        <w:t>Let op! Dit houdt niet in dat deze nieuwe werknemer</w:t>
      </w:r>
      <w:r w:rsidR="008747EB">
        <w:t>-</w:t>
      </w:r>
      <w:r>
        <w:t xml:space="preserve">deelnemer automatisch toegevoegd wordt aan bestaande dialogen. Om </w:t>
      </w:r>
      <w:r w:rsidR="008747EB">
        <w:t>de dialoog</w:t>
      </w:r>
      <w:r>
        <w:t xml:space="preserve"> </w:t>
      </w:r>
      <w:r w:rsidR="008747EB">
        <w:t>met</w:t>
      </w:r>
      <w:r>
        <w:t xml:space="preserve"> </w:t>
      </w:r>
      <w:r w:rsidR="008747EB">
        <w:t>het</w:t>
      </w:r>
      <w:r>
        <w:t xml:space="preserve"> juiste account van de werknemer</w:t>
      </w:r>
      <w:r w:rsidR="008747EB">
        <w:t xml:space="preserve"> te vervolgen</w:t>
      </w:r>
      <w:r>
        <w:t xml:space="preserve">, moet </w:t>
      </w:r>
      <w:r w:rsidR="008747EB">
        <w:t>de</w:t>
      </w:r>
      <w:r>
        <w:t xml:space="preserve"> </w:t>
      </w:r>
      <w:r>
        <w:lastRenderedPageBreak/>
        <w:t>bestaande dialoog gesloten worden en een nieuw dialoog gestart worden met de nieuw aangemaakte werknemer</w:t>
      </w:r>
      <w:r w:rsidR="008747EB">
        <w:t>-</w:t>
      </w:r>
      <w:r>
        <w:t>deelnemer.</w:t>
      </w:r>
    </w:p>
    <w:p w14:paraId="6B9D1798" w14:textId="049F10AB" w:rsidR="00BD44E4" w:rsidRDefault="00BD44E4" w:rsidP="00BD44E4"/>
    <w:p w14:paraId="61D6E5D6" w14:textId="77777777" w:rsidR="00536499" w:rsidRPr="00BD693E" w:rsidRDefault="00536499" w:rsidP="00BD693E"/>
    <w:p w14:paraId="14F89DEE" w14:textId="5D8120DC" w:rsidR="00826FBA" w:rsidRPr="00826FBA" w:rsidRDefault="00B5699B" w:rsidP="00826FBA">
      <w:pPr>
        <w:pStyle w:val="Heading1"/>
      </w:pPr>
      <w:bookmarkStart w:id="11" w:name="_Toc100239840"/>
      <w:r>
        <w:t>Modules</w:t>
      </w:r>
      <w:bookmarkEnd w:id="11"/>
      <w:r w:rsidR="005B6063">
        <w:t xml:space="preserve"> </w:t>
      </w:r>
      <w:bookmarkStart w:id="12" w:name="_Verwijderen_van_gebruiker"/>
      <w:bookmarkEnd w:id="12"/>
    </w:p>
    <w:p w14:paraId="5533EE25" w14:textId="0859B61E" w:rsidR="00C50C46" w:rsidRDefault="00B5699B" w:rsidP="00C50C46">
      <w:pPr>
        <w:pStyle w:val="Heading2"/>
      </w:pPr>
      <w:bookmarkStart w:id="13" w:name="_Toc100239841"/>
      <w:r w:rsidRPr="000E550B">
        <w:t>Contractmanagement</w:t>
      </w:r>
      <w:bookmarkEnd w:id="13"/>
    </w:p>
    <w:p w14:paraId="66A7CF5D" w14:textId="77777777" w:rsidR="00992AEE" w:rsidRDefault="00992AEE" w:rsidP="00992AEE">
      <w:pPr>
        <w:pStyle w:val="Heading3"/>
      </w:pPr>
      <w:bookmarkStart w:id="14" w:name="_Toc99460784"/>
      <w:bookmarkStart w:id="15" w:name="_Toc100239842"/>
      <w:r>
        <w:t>Blokkeren van tijd schrijven op gesloten trajecten</w:t>
      </w:r>
      <w:bookmarkEnd w:id="14"/>
      <w:bookmarkEnd w:id="15"/>
    </w:p>
    <w:p w14:paraId="4ECB1367" w14:textId="77777777" w:rsidR="00992AEE" w:rsidRPr="00A845A7" w:rsidRDefault="00992AEE" w:rsidP="00992AEE">
      <w:pPr>
        <w:rPr>
          <w:u w:val="single"/>
        </w:rPr>
      </w:pPr>
      <w:r w:rsidRPr="00A845A7">
        <w:rPr>
          <w:u w:val="single"/>
        </w:rPr>
        <w:t xml:space="preserve">Waarom deze wijzigingen? </w:t>
      </w:r>
    </w:p>
    <w:p w14:paraId="5FB4307B" w14:textId="4B810096" w:rsidR="00992AEE" w:rsidRPr="00A845A7" w:rsidRDefault="00992AEE" w:rsidP="00992AEE">
      <w:pPr>
        <w:rPr>
          <w:rFonts w:cs="Segoe UI"/>
          <w:color w:val="000000"/>
          <w:shd w:val="clear" w:color="auto" w:fill="FFFFFF"/>
        </w:rPr>
      </w:pPr>
      <w:r w:rsidRPr="00A845A7">
        <w:rPr>
          <w:rFonts w:cs="Segoe UI"/>
          <w:color w:val="000000"/>
          <w:shd w:val="clear" w:color="auto" w:fill="FFFFFF"/>
        </w:rPr>
        <w:t>Op het moment kan er na het sluiten van een traject nog tijd geschreven worden. Dit kan echter ongewenst zijn</w:t>
      </w:r>
      <w:r w:rsidR="000334E3">
        <w:rPr>
          <w:rFonts w:cs="Segoe UI"/>
          <w:color w:val="000000"/>
          <w:shd w:val="clear" w:color="auto" w:fill="FFFFFF"/>
        </w:rPr>
        <w:t>,</w:t>
      </w:r>
      <w:r w:rsidRPr="00A845A7">
        <w:rPr>
          <w:rFonts w:cs="Segoe UI"/>
          <w:color w:val="000000"/>
          <w:shd w:val="clear" w:color="auto" w:fill="FFFFFF"/>
        </w:rPr>
        <w:t xml:space="preserve"> als dit een langdurige periode na het sluiten van een traject alsnog gebeur</w:t>
      </w:r>
      <w:r w:rsidR="000334E3">
        <w:rPr>
          <w:rFonts w:cs="Segoe UI"/>
          <w:color w:val="000000"/>
          <w:shd w:val="clear" w:color="auto" w:fill="FFFFFF"/>
        </w:rPr>
        <w:t>t</w:t>
      </w:r>
      <w:r w:rsidRPr="00A845A7">
        <w:rPr>
          <w:rFonts w:cs="Segoe UI"/>
          <w:color w:val="000000"/>
          <w:shd w:val="clear" w:color="auto" w:fill="FFFFFF"/>
        </w:rPr>
        <w:t>.</w:t>
      </w:r>
      <w:r w:rsidR="00422D8B">
        <w:rPr>
          <w:rFonts w:cs="Segoe UI"/>
          <w:color w:val="000000"/>
          <w:shd w:val="clear" w:color="auto" w:fill="FFFFFF"/>
        </w:rPr>
        <w:t xml:space="preserve"> Daarom </w:t>
      </w:r>
      <w:r w:rsidRPr="00A845A7">
        <w:rPr>
          <w:rFonts w:cs="Segoe UI"/>
          <w:color w:val="000000"/>
          <w:shd w:val="clear" w:color="auto" w:fill="FFFFFF"/>
        </w:rPr>
        <w:t xml:space="preserve">hebben we het mogelijk gemaakt om in te stellen hoe lang na het sluiten van een traject nog verrichtingen uitgevoerd mogen worden. </w:t>
      </w:r>
    </w:p>
    <w:p w14:paraId="1EB4C543" w14:textId="77777777" w:rsidR="00992AEE" w:rsidRPr="00A845A7" w:rsidRDefault="00992AEE" w:rsidP="00992AEE">
      <w:pPr>
        <w:rPr>
          <w:rFonts w:cs="Segoe UI"/>
          <w:color w:val="000000"/>
          <w:shd w:val="clear" w:color="auto" w:fill="FFFFFF"/>
        </w:rPr>
      </w:pPr>
      <w:r w:rsidRPr="00A845A7">
        <w:rPr>
          <w:rFonts w:cs="Segoe UI"/>
          <w:color w:val="000000"/>
          <w:shd w:val="clear" w:color="auto" w:fill="FFFFFF"/>
        </w:rPr>
        <w:t xml:space="preserve">  </w:t>
      </w:r>
    </w:p>
    <w:p w14:paraId="1800685E" w14:textId="77777777" w:rsidR="00992AEE" w:rsidRPr="00A845A7" w:rsidRDefault="00992AEE" w:rsidP="00992AEE">
      <w:pPr>
        <w:rPr>
          <w:rFonts w:cs="Segoe UI"/>
          <w:color w:val="000000"/>
          <w:u w:val="single"/>
          <w:shd w:val="clear" w:color="auto" w:fill="FFFFFF"/>
        </w:rPr>
      </w:pPr>
      <w:r w:rsidRPr="00A845A7">
        <w:rPr>
          <w:u w:val="single"/>
        </w:rPr>
        <w:t>Beschrijving wijzigingen</w:t>
      </w:r>
    </w:p>
    <w:p w14:paraId="62B0AD7F" w14:textId="6AA97101" w:rsidR="00992AEE" w:rsidRPr="00A845A7" w:rsidRDefault="00992AEE" w:rsidP="00992AEE">
      <w:pPr>
        <w:rPr>
          <w:rFonts w:cs="Segoe UI"/>
          <w:color w:val="000000"/>
          <w:shd w:val="clear" w:color="auto" w:fill="FFFFFF"/>
        </w:rPr>
      </w:pPr>
      <w:r w:rsidRPr="00A845A7">
        <w:rPr>
          <w:rFonts w:cs="Segoe UI"/>
          <w:color w:val="000000"/>
          <w:shd w:val="clear" w:color="auto" w:fill="FFFFFF"/>
        </w:rPr>
        <w:t>Er zijn een tweetal productparameters toegevoegd waarmee ingericht kan worden tot hoelang na het sluiten van een traject nog tijd geschreven kan worden</w:t>
      </w:r>
      <w:r w:rsidR="000334E3">
        <w:rPr>
          <w:rFonts w:cs="Segoe UI"/>
          <w:color w:val="000000"/>
          <w:shd w:val="clear" w:color="auto" w:fill="FFFFFF"/>
        </w:rPr>
        <w:t>:</w:t>
      </w:r>
    </w:p>
    <w:p w14:paraId="2EFCC8B0" w14:textId="5277359E" w:rsidR="00992AEE" w:rsidRPr="000334E3" w:rsidRDefault="00992AEE" w:rsidP="000E6978">
      <w:pPr>
        <w:pStyle w:val="ListParagraph"/>
        <w:numPr>
          <w:ilvl w:val="0"/>
          <w:numId w:val="38"/>
        </w:numPr>
        <w:rPr>
          <w:shd w:val="clear" w:color="auto" w:fill="FFFFFF"/>
        </w:rPr>
      </w:pPr>
      <w:r w:rsidRPr="000334E3">
        <w:rPr>
          <w:shd w:val="clear" w:color="auto" w:fill="FFFFFF"/>
        </w:rPr>
        <w:t xml:space="preserve">‘DisableNewOperationsXdaysAfterWorkflowEnd’: De </w:t>
      </w:r>
      <w:r w:rsidR="000E6978">
        <w:rPr>
          <w:shd w:val="clear" w:color="auto" w:fill="FFFFFF"/>
        </w:rPr>
        <w:t>uitvoer</w:t>
      </w:r>
      <w:r w:rsidRPr="000334E3">
        <w:rPr>
          <w:shd w:val="clear" w:color="auto" w:fill="FFFFFF"/>
        </w:rPr>
        <w:t xml:space="preserve">datum van de verrichting mag niet </w:t>
      </w:r>
      <w:r w:rsidR="00FB7788">
        <w:rPr>
          <w:shd w:val="clear" w:color="auto" w:fill="FFFFFF"/>
        </w:rPr>
        <w:t>X</w:t>
      </w:r>
      <w:r w:rsidRPr="000334E3">
        <w:rPr>
          <w:shd w:val="clear" w:color="auto" w:fill="FFFFFF"/>
        </w:rPr>
        <w:t xml:space="preserve"> dagen na de einddatum van het traject liggen.</w:t>
      </w:r>
    </w:p>
    <w:p w14:paraId="07299F28" w14:textId="75B361A0" w:rsidR="00992AEE" w:rsidRPr="000334E3" w:rsidRDefault="00992AEE" w:rsidP="000E6978">
      <w:pPr>
        <w:pStyle w:val="ListParagraph"/>
        <w:numPr>
          <w:ilvl w:val="0"/>
          <w:numId w:val="38"/>
        </w:numPr>
        <w:rPr>
          <w:shd w:val="clear" w:color="auto" w:fill="FFFFFF"/>
        </w:rPr>
      </w:pPr>
      <w:r w:rsidRPr="000334E3">
        <w:rPr>
          <w:shd w:val="clear" w:color="auto" w:fill="FFFFFF"/>
        </w:rPr>
        <w:t xml:space="preserve">‘BlockOperationDatesXdaysAfterWorkflowEnd’: De </w:t>
      </w:r>
      <w:r w:rsidR="00346D47">
        <w:rPr>
          <w:shd w:val="clear" w:color="auto" w:fill="FFFFFF"/>
        </w:rPr>
        <w:t xml:space="preserve">dag waarop je </w:t>
      </w:r>
      <w:r w:rsidR="009D173C">
        <w:rPr>
          <w:shd w:val="clear" w:color="auto" w:fill="FFFFFF"/>
        </w:rPr>
        <w:t>de</w:t>
      </w:r>
      <w:r w:rsidR="00346D47">
        <w:rPr>
          <w:shd w:val="clear" w:color="auto" w:fill="FFFFFF"/>
        </w:rPr>
        <w:t xml:space="preserve"> verrichting </w:t>
      </w:r>
      <w:r w:rsidR="009D173C">
        <w:rPr>
          <w:shd w:val="clear" w:color="auto" w:fill="FFFFFF"/>
        </w:rPr>
        <w:t>schrijft (</w:t>
      </w:r>
      <w:r w:rsidR="000E6978">
        <w:rPr>
          <w:shd w:val="clear" w:color="auto" w:fill="FFFFFF"/>
        </w:rPr>
        <w:t>lees</w:t>
      </w:r>
      <w:r w:rsidR="009D173C">
        <w:rPr>
          <w:shd w:val="clear" w:color="auto" w:fill="FFFFFF"/>
        </w:rPr>
        <w:t>:</w:t>
      </w:r>
      <w:r w:rsidR="000E6978">
        <w:rPr>
          <w:shd w:val="clear" w:color="auto" w:fill="FFFFFF"/>
        </w:rPr>
        <w:t xml:space="preserve"> </w:t>
      </w:r>
      <w:r w:rsidR="009D173C">
        <w:rPr>
          <w:shd w:val="clear" w:color="auto" w:fill="FFFFFF"/>
        </w:rPr>
        <w:t>vandaag)</w:t>
      </w:r>
      <w:r w:rsidR="000E6978">
        <w:rPr>
          <w:shd w:val="clear" w:color="auto" w:fill="FFFFFF"/>
        </w:rPr>
        <w:t xml:space="preserve"> </w:t>
      </w:r>
      <w:r w:rsidRPr="000334E3">
        <w:rPr>
          <w:shd w:val="clear" w:color="auto" w:fill="FFFFFF"/>
        </w:rPr>
        <w:t xml:space="preserve">mag niet </w:t>
      </w:r>
      <w:r w:rsidR="000E6978">
        <w:rPr>
          <w:shd w:val="clear" w:color="auto" w:fill="FFFFFF"/>
        </w:rPr>
        <w:t>X</w:t>
      </w:r>
      <w:r w:rsidRPr="000334E3">
        <w:rPr>
          <w:shd w:val="clear" w:color="auto" w:fill="FFFFFF"/>
        </w:rPr>
        <w:t xml:space="preserve"> dagen na de einddatum van het traject liggen.</w:t>
      </w:r>
    </w:p>
    <w:p w14:paraId="62CB8796" w14:textId="77777777" w:rsidR="00992AEE" w:rsidRPr="00A845A7" w:rsidRDefault="00992AEE" w:rsidP="00992AEE">
      <w:pPr>
        <w:rPr>
          <w:rFonts w:cs="Segoe UI"/>
          <w:color w:val="000000"/>
          <w:shd w:val="clear" w:color="auto" w:fill="FFFFFF"/>
        </w:rPr>
      </w:pPr>
    </w:p>
    <w:p w14:paraId="351D7F54" w14:textId="7FD53B8E" w:rsidR="00992AEE" w:rsidRPr="00A845A7" w:rsidRDefault="00992AEE" w:rsidP="00992AEE">
      <w:pPr>
        <w:rPr>
          <w:rFonts w:cs="Segoe UI"/>
          <w:color w:val="000000"/>
          <w:shd w:val="clear" w:color="auto" w:fill="FFFFFF"/>
        </w:rPr>
      </w:pPr>
      <w:r w:rsidRPr="00A845A7">
        <w:rPr>
          <w:rFonts w:cs="Segoe UI"/>
          <w:color w:val="000000"/>
          <w:shd w:val="clear" w:color="auto" w:fill="FFFFFF"/>
        </w:rPr>
        <w:t>Deze</w:t>
      </w:r>
      <w:r w:rsidR="00FB7788">
        <w:rPr>
          <w:rFonts w:cs="Segoe UI"/>
          <w:color w:val="000000"/>
          <w:shd w:val="clear" w:color="auto" w:fill="FFFFFF"/>
        </w:rPr>
        <w:t xml:space="preserve"> parameters</w:t>
      </w:r>
      <w:r w:rsidRPr="00A845A7">
        <w:rPr>
          <w:rFonts w:cs="Segoe UI"/>
          <w:color w:val="000000"/>
          <w:shd w:val="clear" w:color="auto" w:fill="FFFFFF"/>
        </w:rPr>
        <w:t xml:space="preserve"> kunnen ingericht worden in beheer via Applicatieinstellingen &gt; Configuratieparameters &gt; Operations. De productparameters zullen standaard uitstaan</w:t>
      </w:r>
      <w:r w:rsidR="000334E3">
        <w:rPr>
          <w:rFonts w:cs="Segoe UI"/>
          <w:color w:val="000000"/>
          <w:shd w:val="clear" w:color="auto" w:fill="FFFFFF"/>
        </w:rPr>
        <w:t xml:space="preserve"> en zijn eenvoudig in te schakelen door</w:t>
      </w:r>
      <w:r w:rsidRPr="00A845A7">
        <w:rPr>
          <w:rFonts w:cs="Segoe UI"/>
          <w:color w:val="000000"/>
          <w:shd w:val="clear" w:color="auto" w:fill="FFFFFF"/>
        </w:rPr>
        <w:t xml:space="preserve"> </w:t>
      </w:r>
      <w:r w:rsidR="00FB7788">
        <w:rPr>
          <w:rFonts w:cs="Segoe UI"/>
          <w:color w:val="000000"/>
          <w:shd w:val="clear" w:color="auto" w:fill="FFFFFF"/>
        </w:rPr>
        <w:t>een waarde voor X in te vullen. Om de parameter(s) weer uit te schakelen,</w:t>
      </w:r>
      <w:r w:rsidR="00346D47">
        <w:rPr>
          <w:rFonts w:cs="Segoe UI"/>
          <w:color w:val="000000"/>
          <w:shd w:val="clear" w:color="auto" w:fill="FFFFFF"/>
        </w:rPr>
        <w:t xml:space="preserve"> kan de beheerder voor X een ongeldig getal invullen zoals ‘</w:t>
      </w:r>
      <w:proofErr w:type="gramStart"/>
      <w:r w:rsidR="00346D47">
        <w:rPr>
          <w:rFonts w:cs="Segoe UI"/>
          <w:color w:val="000000"/>
          <w:shd w:val="clear" w:color="auto" w:fill="FFFFFF"/>
        </w:rPr>
        <w:t>-‘</w:t>
      </w:r>
      <w:proofErr w:type="gramEnd"/>
      <w:r w:rsidR="00346D47">
        <w:rPr>
          <w:rFonts w:cs="Segoe UI"/>
          <w:color w:val="000000"/>
          <w:shd w:val="clear" w:color="auto" w:fill="FFFFFF"/>
        </w:rPr>
        <w:t xml:space="preserve">. </w:t>
      </w:r>
    </w:p>
    <w:p w14:paraId="47AA7A54" w14:textId="77777777" w:rsidR="00992AEE" w:rsidRPr="00A845A7" w:rsidRDefault="00992AEE" w:rsidP="00992AEE">
      <w:pPr>
        <w:rPr>
          <w:rFonts w:cs="Segoe UI"/>
          <w:color w:val="000000"/>
          <w:shd w:val="clear" w:color="auto" w:fill="FFFFFF"/>
        </w:rPr>
      </w:pPr>
    </w:p>
    <w:p w14:paraId="7223C6EC" w14:textId="23DF9BEE" w:rsidR="00992AEE" w:rsidRPr="00A845A7" w:rsidRDefault="00346D47" w:rsidP="00992AEE">
      <w:pPr>
        <w:rPr>
          <w:rFonts w:cs="Segoe UI"/>
          <w:color w:val="000000"/>
          <w:shd w:val="clear" w:color="auto" w:fill="FFFFFF"/>
        </w:rPr>
      </w:pPr>
      <w:r>
        <w:rPr>
          <w:rFonts w:cs="Segoe UI"/>
          <w:color w:val="000000"/>
          <w:shd w:val="clear" w:color="auto" w:fill="FFFFFF"/>
        </w:rPr>
        <w:t>B</w:t>
      </w:r>
      <w:r w:rsidR="00992AEE" w:rsidRPr="00A845A7">
        <w:rPr>
          <w:rFonts w:cs="Segoe UI"/>
          <w:color w:val="000000"/>
          <w:shd w:val="clear" w:color="auto" w:fill="FFFFFF"/>
        </w:rPr>
        <w:t xml:space="preserve">ovenstaande productparameters kunnen voorkomen dat een verrichting geschreven wordt met de status </w:t>
      </w:r>
      <w:r>
        <w:rPr>
          <w:rFonts w:cs="Segoe UI"/>
          <w:color w:val="000000"/>
          <w:shd w:val="clear" w:color="auto" w:fill="FFFFFF"/>
        </w:rPr>
        <w:t>‘</w:t>
      </w:r>
      <w:r w:rsidR="00992AEE" w:rsidRPr="00A845A7">
        <w:rPr>
          <w:rFonts w:cs="Segoe UI"/>
          <w:color w:val="000000"/>
          <w:shd w:val="clear" w:color="auto" w:fill="FFFFFF"/>
        </w:rPr>
        <w:t>Factureerbaar</w:t>
      </w:r>
      <w:r>
        <w:rPr>
          <w:rFonts w:cs="Segoe UI"/>
          <w:color w:val="000000"/>
          <w:shd w:val="clear" w:color="auto" w:fill="FFFFFF"/>
        </w:rPr>
        <w:t>’</w:t>
      </w:r>
      <w:r w:rsidR="00992AEE" w:rsidRPr="00A845A7">
        <w:rPr>
          <w:rFonts w:cs="Segoe UI"/>
          <w:color w:val="000000"/>
          <w:shd w:val="clear" w:color="auto" w:fill="FFFFFF"/>
        </w:rPr>
        <w:t xml:space="preserve"> of </w:t>
      </w:r>
      <w:r>
        <w:rPr>
          <w:rFonts w:cs="Segoe UI"/>
          <w:color w:val="000000"/>
          <w:shd w:val="clear" w:color="auto" w:fill="FFFFFF"/>
        </w:rPr>
        <w:t>‘</w:t>
      </w:r>
      <w:r w:rsidR="00992AEE" w:rsidRPr="00A845A7">
        <w:rPr>
          <w:rFonts w:cs="Segoe UI"/>
          <w:color w:val="000000"/>
          <w:shd w:val="clear" w:color="auto" w:fill="FFFFFF"/>
        </w:rPr>
        <w:t>In Abonnement</w:t>
      </w:r>
      <w:r>
        <w:rPr>
          <w:rFonts w:cs="Segoe UI"/>
          <w:color w:val="000000"/>
          <w:shd w:val="clear" w:color="auto" w:fill="FFFFFF"/>
        </w:rPr>
        <w:t>’</w:t>
      </w:r>
      <w:r w:rsidR="00992AEE" w:rsidRPr="00A845A7">
        <w:rPr>
          <w:rFonts w:cs="Segoe UI"/>
          <w:color w:val="000000"/>
          <w:shd w:val="clear" w:color="auto" w:fill="FFFFFF"/>
        </w:rPr>
        <w:t>.</w:t>
      </w:r>
      <w:r>
        <w:rPr>
          <w:rFonts w:cs="Segoe UI"/>
          <w:color w:val="000000"/>
          <w:shd w:val="clear" w:color="auto" w:fill="FFFFFF"/>
        </w:rPr>
        <w:t xml:space="preserve"> Een verrichting als c</w:t>
      </w:r>
      <w:r w:rsidR="00992AEE" w:rsidRPr="00A845A7">
        <w:rPr>
          <w:rFonts w:cs="Segoe UI"/>
          <w:color w:val="000000"/>
          <w:shd w:val="clear" w:color="auto" w:fill="FFFFFF"/>
        </w:rPr>
        <w:t xml:space="preserve">oncept opslaan kan nog wel, maar </w:t>
      </w:r>
      <w:r>
        <w:rPr>
          <w:rFonts w:cs="Segoe UI"/>
          <w:color w:val="000000"/>
          <w:shd w:val="clear" w:color="auto" w:fill="FFFFFF"/>
        </w:rPr>
        <w:t xml:space="preserve">hierbij wordt een </w:t>
      </w:r>
      <w:r w:rsidR="00992AEE" w:rsidRPr="00A845A7">
        <w:rPr>
          <w:rFonts w:cs="Segoe UI"/>
          <w:color w:val="000000"/>
          <w:shd w:val="clear" w:color="auto" w:fill="FFFFFF"/>
        </w:rPr>
        <w:t>waarschuwing</w:t>
      </w:r>
      <w:r>
        <w:rPr>
          <w:rFonts w:cs="Segoe UI"/>
          <w:color w:val="000000"/>
          <w:shd w:val="clear" w:color="auto" w:fill="FFFFFF"/>
        </w:rPr>
        <w:t xml:space="preserve"> getoond</w:t>
      </w:r>
      <w:r w:rsidR="00992AEE" w:rsidRPr="00A845A7">
        <w:rPr>
          <w:rFonts w:cs="Segoe UI"/>
          <w:color w:val="000000"/>
          <w:shd w:val="clear" w:color="auto" w:fill="FFFFFF"/>
        </w:rPr>
        <w:t xml:space="preserve">. Pas bij definitief opslaan worden </w:t>
      </w:r>
      <w:r>
        <w:rPr>
          <w:rFonts w:cs="Segoe UI"/>
          <w:color w:val="000000"/>
          <w:shd w:val="clear" w:color="auto" w:fill="FFFFFF"/>
        </w:rPr>
        <w:t>de verrichtingen</w:t>
      </w:r>
      <w:r w:rsidR="00992AEE" w:rsidRPr="00A845A7">
        <w:rPr>
          <w:rFonts w:cs="Segoe UI"/>
          <w:color w:val="000000"/>
          <w:shd w:val="clear" w:color="auto" w:fill="FFFFFF"/>
        </w:rPr>
        <w:t xml:space="preserve"> vrijgegeven ter facturatie. </w:t>
      </w:r>
      <w:r>
        <w:rPr>
          <w:rFonts w:cs="Segoe UI"/>
          <w:color w:val="000000"/>
          <w:shd w:val="clear" w:color="auto" w:fill="FFFFFF"/>
        </w:rPr>
        <w:t>Bij g</w:t>
      </w:r>
      <w:r w:rsidR="00992AEE" w:rsidRPr="00A845A7">
        <w:rPr>
          <w:rFonts w:cs="Segoe UI"/>
          <w:color w:val="000000"/>
          <w:shd w:val="clear" w:color="auto" w:fill="FFFFFF"/>
        </w:rPr>
        <w:t xml:space="preserve">ebruikers die contractmanager zijn, </w:t>
      </w:r>
      <w:r>
        <w:rPr>
          <w:rFonts w:cs="Segoe UI"/>
          <w:color w:val="000000"/>
          <w:shd w:val="clear" w:color="auto" w:fill="FFFFFF"/>
        </w:rPr>
        <w:t>worden de parameters niet gecontroleerd. Zij zullen altijd verrichtingen kunnen schrijven en definitief op kunnen slaan.</w:t>
      </w:r>
    </w:p>
    <w:p w14:paraId="619346D7" w14:textId="77777777" w:rsidR="00992AEE" w:rsidRPr="00A845A7" w:rsidRDefault="00992AEE" w:rsidP="00992AEE">
      <w:pPr>
        <w:rPr>
          <w:rFonts w:cs="Segoe UI"/>
          <w:color w:val="000000"/>
          <w:shd w:val="clear" w:color="auto" w:fill="FFFFFF"/>
        </w:rPr>
      </w:pPr>
    </w:p>
    <w:p w14:paraId="61C35FF1" w14:textId="10270021" w:rsidR="00BD44E4" w:rsidRDefault="00346D47" w:rsidP="00BD44E4">
      <w:r w:rsidRPr="00346D47">
        <w:rPr>
          <w:noProof/>
        </w:rPr>
        <w:lastRenderedPageBreak/>
        <w:drawing>
          <wp:inline distT="0" distB="0" distL="0" distR="0" wp14:anchorId="636488DC" wp14:editId="7EB0B6E5">
            <wp:extent cx="5731510" cy="2536190"/>
            <wp:effectExtent l="0" t="0" r="254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a:stretch>
                      <a:fillRect/>
                    </a:stretch>
                  </pic:blipFill>
                  <pic:spPr>
                    <a:xfrm>
                      <a:off x="0" y="0"/>
                      <a:ext cx="5731510" cy="2536190"/>
                    </a:xfrm>
                    <a:prstGeom prst="rect">
                      <a:avLst/>
                    </a:prstGeom>
                  </pic:spPr>
                </pic:pic>
              </a:graphicData>
            </a:graphic>
          </wp:inline>
        </w:drawing>
      </w:r>
    </w:p>
    <w:p w14:paraId="433CAA09" w14:textId="0953F004" w:rsidR="00572CB6" w:rsidRDefault="00572CB6" w:rsidP="00BD44E4"/>
    <w:p w14:paraId="14475957" w14:textId="77777777" w:rsidR="00572CB6" w:rsidRDefault="00572CB6" w:rsidP="00572CB6">
      <w:pPr>
        <w:pStyle w:val="Heading2"/>
        <w:rPr>
          <w:rStyle w:val="SubtleEmphasis"/>
          <w:i w:val="0"/>
          <w:iCs/>
          <w:color w:val="auto"/>
        </w:rPr>
      </w:pPr>
      <w:bookmarkStart w:id="16" w:name="_Toc100070033"/>
      <w:bookmarkStart w:id="17" w:name="_Toc100239843"/>
      <w:r w:rsidRPr="000E550B">
        <w:rPr>
          <w:rStyle w:val="SubtleEmphasis"/>
          <w:i w:val="0"/>
          <w:iCs/>
          <w:color w:val="auto"/>
        </w:rPr>
        <w:t>Inkomensverzekeringen</w:t>
      </w:r>
      <w:bookmarkEnd w:id="16"/>
      <w:bookmarkEnd w:id="17"/>
    </w:p>
    <w:p w14:paraId="103B142F" w14:textId="77777777" w:rsidR="00572CB6" w:rsidRDefault="00572CB6" w:rsidP="00572CB6">
      <w:pPr>
        <w:pStyle w:val="Heading3"/>
        <w:numPr>
          <w:ilvl w:val="2"/>
          <w:numId w:val="35"/>
        </w:numPr>
      </w:pPr>
      <w:bookmarkStart w:id="18" w:name="_Toc100239844"/>
      <w:r>
        <w:t>Claims en boekingen inzage voor werkgevergebruikers</w:t>
      </w:r>
      <w:bookmarkEnd w:id="18"/>
    </w:p>
    <w:p w14:paraId="4581FDAE" w14:textId="77777777" w:rsidR="00572CB6" w:rsidRDefault="00572CB6" w:rsidP="00572CB6">
      <w:pPr>
        <w:rPr>
          <w:u w:val="single"/>
          <w:lang w:eastAsia="nl-NL"/>
        </w:rPr>
      </w:pPr>
      <w:r>
        <w:rPr>
          <w:u w:val="single"/>
          <w:lang w:eastAsia="nl-NL"/>
        </w:rPr>
        <w:t>Waarom deze wijzigingen?</w:t>
      </w:r>
    </w:p>
    <w:p w14:paraId="26EDD54D" w14:textId="1E092BF5" w:rsidR="00572CB6" w:rsidRDefault="00572CB6" w:rsidP="00572CB6">
      <w:r>
        <w:t>Om verantwoording af te kunnen leggen naar de werkgever toe moet het voor de werkgevergebruikers mogelijk zijn om boekingen en bijbehorende claimspecificaties in te kunnen zien.</w:t>
      </w:r>
    </w:p>
    <w:p w14:paraId="0FD7E065" w14:textId="77777777" w:rsidR="00572CB6" w:rsidRDefault="00572CB6" w:rsidP="00572CB6"/>
    <w:p w14:paraId="0D1CC3B1" w14:textId="057F0654" w:rsidR="00572CB6" w:rsidRDefault="00572CB6" w:rsidP="00572CB6">
      <w:pPr>
        <w:rPr>
          <w:u w:val="single"/>
          <w:lang w:eastAsia="nl-NL"/>
        </w:rPr>
      </w:pPr>
      <w:r>
        <w:rPr>
          <w:u w:val="single"/>
          <w:lang w:eastAsia="nl-NL"/>
        </w:rPr>
        <w:t>Compliancy met privacyregels</w:t>
      </w:r>
    </w:p>
    <w:p w14:paraId="238C132D" w14:textId="090EE790" w:rsidR="00572CB6" w:rsidRDefault="00572CB6" w:rsidP="00572CB6">
      <w:pPr>
        <w:rPr>
          <w:lang w:eastAsia="nl-NL"/>
        </w:rPr>
      </w:pPr>
      <w:r>
        <w:rPr>
          <w:lang w:eastAsia="nl-NL"/>
        </w:rPr>
        <w:t>Werkgevers kunnen rechten krijgen om claims en boekingen in te kunnen zien. Het is hier belangrijk dat de werkgever alleen maar een overzicht krijgt van de claims en boekingen die relatie hebben tot de werkgever.</w:t>
      </w:r>
    </w:p>
    <w:p w14:paraId="1BD623E1" w14:textId="77777777" w:rsidR="00572CB6" w:rsidRDefault="00572CB6" w:rsidP="00572CB6">
      <w:pPr>
        <w:rPr>
          <w:u w:val="single"/>
          <w:lang w:eastAsia="nl-NL"/>
        </w:rPr>
      </w:pPr>
    </w:p>
    <w:p w14:paraId="4FC86FD3" w14:textId="77777777" w:rsidR="00572CB6" w:rsidRDefault="00572CB6" w:rsidP="00572CB6">
      <w:pPr>
        <w:rPr>
          <w:u w:val="single"/>
          <w:lang w:eastAsia="nl-NL"/>
        </w:rPr>
      </w:pPr>
      <w:r>
        <w:rPr>
          <w:u w:val="single"/>
          <w:lang w:eastAsia="nl-NL"/>
        </w:rPr>
        <w:t>Beschrijving wijzigingen</w:t>
      </w:r>
    </w:p>
    <w:p w14:paraId="5776E09F" w14:textId="4736D4CE" w:rsidR="00572CB6" w:rsidRDefault="00572CB6" w:rsidP="00572CB6">
      <w:pPr>
        <w:rPr>
          <w:lang w:eastAsia="nl-NL"/>
        </w:rPr>
      </w:pPr>
      <w:r>
        <w:rPr>
          <w:lang w:eastAsia="nl-NL"/>
        </w:rPr>
        <w:t xml:space="preserve">Als een gebruiker een werkgevergebruiker is, zal deze gebruiker in het boekingenoverzicht (indien geautoriseerd) alleen maar de boekingen te zien krijgen die geboekt zijn op deze werkgever. Hetzelfde geldt voor de claims en de claimspecificaties, deze doen ook een check op de werkgever en tonen in het overzicht alleen de claims die geaccordeerd zijn. Claims die in afwachting zijn om beoordeeld te worden, zullen niet inzichtelijk zijn voor de werkgevergebruiker. </w:t>
      </w:r>
    </w:p>
    <w:p w14:paraId="742B8DA3" w14:textId="77777777" w:rsidR="00572CB6" w:rsidRPr="000E550B" w:rsidRDefault="00572CB6" w:rsidP="00BD44E4"/>
    <w:p w14:paraId="6439D2FA" w14:textId="5C7C4CE7" w:rsidR="000E550B" w:rsidRDefault="000E550B" w:rsidP="000E550B">
      <w:pPr>
        <w:pStyle w:val="Heading2"/>
      </w:pPr>
      <w:bookmarkStart w:id="19" w:name="_Toc100239845"/>
      <w:r>
        <w:t>Verloning</w:t>
      </w:r>
      <w:bookmarkEnd w:id="19"/>
    </w:p>
    <w:p w14:paraId="1357B4FA" w14:textId="4294B330" w:rsidR="0056547D" w:rsidRDefault="0056547D" w:rsidP="0056547D">
      <w:pPr>
        <w:pStyle w:val="Heading3"/>
      </w:pPr>
      <w:bookmarkStart w:id="20" w:name="_Toc95227681"/>
      <w:bookmarkStart w:id="21" w:name="_Toc100239846"/>
      <w:bookmarkStart w:id="22" w:name="_Toc94274028"/>
      <w:r>
        <w:t>Ondersteuning WI</w:t>
      </w:r>
      <w:r w:rsidR="00572CB6">
        <w:t>A-</w:t>
      </w:r>
      <w:r>
        <w:t>verzekeringspolissen</w:t>
      </w:r>
      <w:bookmarkEnd w:id="20"/>
      <w:bookmarkEnd w:id="21"/>
    </w:p>
    <w:p w14:paraId="26C68C93" w14:textId="77777777" w:rsidR="0056547D" w:rsidRDefault="0056547D" w:rsidP="0056547D">
      <w:pPr>
        <w:rPr>
          <w:u w:val="single"/>
        </w:rPr>
      </w:pPr>
      <w:r>
        <w:rPr>
          <w:u w:val="single"/>
        </w:rPr>
        <w:t>Context van de wijzigingen</w:t>
      </w:r>
    </w:p>
    <w:p w14:paraId="2A0BAE42" w14:textId="24F0A309" w:rsidR="0056547D" w:rsidRPr="00BA64ED" w:rsidRDefault="0056547D" w:rsidP="0056547D">
      <w:r>
        <w:t>Nadat in voorgaande release</w:t>
      </w:r>
      <w:r w:rsidR="00F00C28">
        <w:t>s</w:t>
      </w:r>
      <w:r>
        <w:t xml:space="preserve"> de eerste versie van de ondersteuning van de claimafhandeling voor ZW</w:t>
      </w:r>
      <w:r w:rsidR="00F00C28">
        <w:t>-</w:t>
      </w:r>
      <w:r>
        <w:t>ERD</w:t>
      </w:r>
      <w:r w:rsidR="00F00C28">
        <w:t>-</w:t>
      </w:r>
      <w:r w:rsidRPr="00BA64ED">
        <w:t>verzekeringspolissen, WGA</w:t>
      </w:r>
      <w:r w:rsidR="00F00C28">
        <w:t>-</w:t>
      </w:r>
      <w:r w:rsidRPr="00BA64ED">
        <w:t>ERD</w:t>
      </w:r>
      <w:r w:rsidR="00F00C28">
        <w:t>-</w:t>
      </w:r>
      <w:r w:rsidRPr="00BA64ED">
        <w:t xml:space="preserve">verzekeringspolissen en ingezette interventies is geïntroduceerd, is het </w:t>
      </w:r>
      <w:r w:rsidR="00F00C28">
        <w:t xml:space="preserve">nu </w:t>
      </w:r>
      <w:r w:rsidRPr="00BA64ED">
        <w:t xml:space="preserve">de beurt aan de afhandeling van claims tegen </w:t>
      </w:r>
      <w:r w:rsidR="00F00C28" w:rsidRPr="00BA64ED">
        <w:t>WIA-verzekeringspolissen</w:t>
      </w:r>
      <w:r w:rsidRPr="00BA64ED">
        <w:t>.</w:t>
      </w:r>
    </w:p>
    <w:p w14:paraId="1D28DF10" w14:textId="77777777" w:rsidR="0056547D" w:rsidRPr="00BA64ED" w:rsidRDefault="0056547D" w:rsidP="0056547D"/>
    <w:p w14:paraId="44022E6C" w14:textId="111D73A2" w:rsidR="0056547D" w:rsidRPr="00BA64ED" w:rsidRDefault="0056547D" w:rsidP="0056547D">
      <w:r w:rsidRPr="00BA64ED">
        <w:lastRenderedPageBreak/>
        <w:t xml:space="preserve">Op hoofdlijnen </w:t>
      </w:r>
      <w:r w:rsidR="00F00C28">
        <w:t>maakt</w:t>
      </w:r>
      <w:r w:rsidRPr="00BA64ED">
        <w:t xml:space="preserve"> het </w:t>
      </w:r>
      <w:r w:rsidR="00F00C28" w:rsidRPr="00BA64ED">
        <w:t>WIA-verloningsproces</w:t>
      </w:r>
      <w:r w:rsidRPr="00BA64ED">
        <w:t xml:space="preserve"> van dezelfde functionaliteiten gebruik als het </w:t>
      </w:r>
      <w:r w:rsidR="00F00C28">
        <w:t xml:space="preserve">eerder </w:t>
      </w:r>
      <w:r w:rsidRPr="00BA64ED">
        <w:t>beschreven ZW</w:t>
      </w:r>
      <w:r w:rsidR="00F00C28">
        <w:t>-</w:t>
      </w:r>
      <w:r w:rsidRPr="00BA64ED">
        <w:t xml:space="preserve">ERD proces. Hierin zal vooral in </w:t>
      </w:r>
      <w:r w:rsidR="00F00C28" w:rsidRPr="00BA64ED">
        <w:t>het eerste gedeelte</w:t>
      </w:r>
      <w:r w:rsidR="00F00C28">
        <w:t xml:space="preserve"> (</w:t>
      </w:r>
      <w:r w:rsidRPr="00BA64ED">
        <w:t>het starten van het traject en het genereren van de looncomponenten</w:t>
      </w:r>
      <w:r w:rsidR="00F00C28">
        <w:t>)</w:t>
      </w:r>
      <w:r w:rsidRPr="00BA64ED">
        <w:t xml:space="preserve"> verschil inzitten. Dit </w:t>
      </w:r>
      <w:r w:rsidR="00F00C28">
        <w:t>betreft</w:t>
      </w:r>
      <w:r w:rsidRPr="00BA64ED">
        <w:t xml:space="preserve"> de volgende stappen:</w:t>
      </w:r>
    </w:p>
    <w:p w14:paraId="22BBB543" w14:textId="5FC3D536" w:rsidR="0056547D" w:rsidRPr="00BA64ED" w:rsidRDefault="0056547D" w:rsidP="0056547D">
      <w:pPr>
        <w:pStyle w:val="ListParagraph"/>
        <w:numPr>
          <w:ilvl w:val="0"/>
          <w:numId w:val="43"/>
        </w:numPr>
      </w:pPr>
      <w:r w:rsidRPr="00BA64ED">
        <w:t>Medewerker gaat na 2 jaar vanuit een ZW</w:t>
      </w:r>
      <w:r w:rsidR="00F00C28">
        <w:t>-</w:t>
      </w:r>
      <w:r w:rsidRPr="00BA64ED">
        <w:t>ERD</w:t>
      </w:r>
      <w:r w:rsidR="00F00C28">
        <w:t>-</w:t>
      </w:r>
      <w:r w:rsidRPr="00BA64ED">
        <w:t xml:space="preserve">traject naar een </w:t>
      </w:r>
      <w:r w:rsidR="00F00C28" w:rsidRPr="00BA64ED">
        <w:t>WIA-traject</w:t>
      </w:r>
      <w:r w:rsidRPr="00BA64ED">
        <w:t>, gerelateerd aan de WIA</w:t>
      </w:r>
      <w:r w:rsidR="00F00C28">
        <w:t>-v</w:t>
      </w:r>
      <w:r w:rsidRPr="00BA64ED">
        <w:t xml:space="preserve">erzekeringspolis die bij diens werkgever geregistreerd staat (uitbreiding van de basisfunctionaliteit van de Xpert Suite: sectie </w:t>
      </w:r>
      <w:r w:rsidRPr="0056547D">
        <w:fldChar w:fldCharType="begin"/>
      </w:r>
      <w:r w:rsidRPr="0056547D">
        <w:instrText xml:space="preserve"> REF _Ref100125824 \r \h </w:instrText>
      </w:r>
      <w:r w:rsidRPr="0056547D">
        <w:fldChar w:fldCharType="separate"/>
      </w:r>
      <w:r w:rsidR="003D389E">
        <w:t>3.3.1.1</w:t>
      </w:r>
      <w:r w:rsidRPr="0056547D">
        <w:fldChar w:fldCharType="end"/>
      </w:r>
      <w:r w:rsidRPr="0056547D">
        <w:t>)</w:t>
      </w:r>
    </w:p>
    <w:p w14:paraId="16257E85" w14:textId="40910100" w:rsidR="0056547D" w:rsidRPr="00BA64ED" w:rsidRDefault="0056547D" w:rsidP="0056547D">
      <w:pPr>
        <w:pStyle w:val="ListParagraph"/>
        <w:numPr>
          <w:ilvl w:val="0"/>
          <w:numId w:val="43"/>
        </w:numPr>
      </w:pPr>
      <w:r w:rsidRPr="00BA64ED">
        <w:t xml:space="preserve">Binnen dit traject wordt vervolgens in een aantal stappen de hoogte van de uitkering aan de betreffende werknemer berekend. Hiervoor wordt gebruik gemaakt van de functionaliteit van de module Verloning, waarin achtereenvolgens </w:t>
      </w:r>
      <w:r w:rsidR="00F00C28">
        <w:t>de</w:t>
      </w:r>
      <w:r w:rsidRPr="00BA64ED">
        <w:t xml:space="preserve"> maandelijkse uit te keren bruto looncomponenten worden berekend (uitbreidingen van de basisfunctionaliteit van de Xpert Suite: sectie </w:t>
      </w:r>
      <w:r w:rsidRPr="0056547D">
        <w:fldChar w:fldCharType="begin"/>
      </w:r>
      <w:r w:rsidRPr="0056547D">
        <w:instrText xml:space="preserve"> REF _Ref100125749 \r \h </w:instrText>
      </w:r>
      <w:r w:rsidRPr="0056547D">
        <w:fldChar w:fldCharType="separate"/>
      </w:r>
      <w:r w:rsidR="003D389E">
        <w:t>3.3.1.3</w:t>
      </w:r>
      <w:r w:rsidRPr="0056547D">
        <w:fldChar w:fldCharType="end"/>
      </w:r>
      <w:r w:rsidRPr="0056547D">
        <w:t>).</w:t>
      </w:r>
    </w:p>
    <w:p w14:paraId="37736A1E" w14:textId="545736C7" w:rsidR="0056547D" w:rsidRPr="00BA64ED" w:rsidRDefault="0056547D" w:rsidP="0056547D">
      <w:pPr>
        <w:pStyle w:val="ListParagraph"/>
        <w:numPr>
          <w:ilvl w:val="0"/>
          <w:numId w:val="43"/>
        </w:numPr>
      </w:pPr>
      <w:r w:rsidRPr="00BA64ED">
        <w:t xml:space="preserve">Na enige periode (per 3 of 6 maanden) zal er vanuit het UWV een definitieve vaststelling van deze uitkering gedaan worden (DVU). Deze kan ingezet worden om over uitgekeerde periodes een correctie aan te brengen (nieuw </w:t>
      </w:r>
      <w:r w:rsidR="00F00C28">
        <w:t>per</w:t>
      </w:r>
      <w:r w:rsidRPr="00BA64ED">
        <w:t xml:space="preserve"> deze release: sectie </w:t>
      </w:r>
      <w:r w:rsidRPr="0056547D">
        <w:fldChar w:fldCharType="begin"/>
      </w:r>
      <w:r w:rsidRPr="0056547D">
        <w:instrText xml:space="preserve"> REF _Ref100125769 \r \h </w:instrText>
      </w:r>
      <w:r w:rsidRPr="0056547D">
        <w:fldChar w:fldCharType="separate"/>
      </w:r>
      <w:r w:rsidR="003D389E">
        <w:t>3.3.1.4</w:t>
      </w:r>
      <w:r w:rsidRPr="0056547D">
        <w:fldChar w:fldCharType="end"/>
      </w:r>
      <w:r w:rsidRPr="0056547D">
        <w:t>).</w:t>
      </w:r>
    </w:p>
    <w:p w14:paraId="61BAC468" w14:textId="77777777" w:rsidR="0056547D" w:rsidRPr="00BA64ED" w:rsidRDefault="0056547D" w:rsidP="0056547D">
      <w:pPr>
        <w:ind w:left="360"/>
      </w:pPr>
    </w:p>
    <w:p w14:paraId="550DBCDF" w14:textId="550F7D3D" w:rsidR="0056547D" w:rsidRDefault="0056547D" w:rsidP="0056547D">
      <w:r w:rsidRPr="00BA64ED">
        <w:t>Na deze</w:t>
      </w:r>
      <w:r w:rsidR="001301D2">
        <w:t xml:space="preserve"> afwijkende eerste</w:t>
      </w:r>
      <w:r w:rsidRPr="00BA64ED">
        <w:t xml:space="preserve"> stappen</w:t>
      </w:r>
      <w:r w:rsidR="001301D2">
        <w:t>,</w:t>
      </w:r>
      <w:r w:rsidRPr="00BA64ED">
        <w:t xml:space="preserve"> volgt WIA dezelfde stappen als bij ZW</w:t>
      </w:r>
      <w:r w:rsidR="001301D2">
        <w:t>-</w:t>
      </w:r>
      <w:r w:rsidRPr="00BA64ED">
        <w:t xml:space="preserve">ERD door gebruik te maken van de </w:t>
      </w:r>
      <w:r w:rsidR="00F00C28" w:rsidRPr="00BA64ED">
        <w:t>al</w:t>
      </w:r>
      <w:r w:rsidRPr="00BA64ED">
        <w:t xml:space="preserve"> bestaande functionaliteiten binnen de </w:t>
      </w:r>
      <w:r w:rsidR="001301D2">
        <w:t>Verlonings</w:t>
      </w:r>
      <w:r w:rsidRPr="00BA64ED">
        <w:t>modul</w:t>
      </w:r>
      <w:r w:rsidR="001301D2">
        <w:t>e</w:t>
      </w:r>
      <w:r w:rsidRPr="00BA64ED">
        <w:t xml:space="preserve">. Dit betreft het proces om via een automatische koppeling de looncomponenten door te sturen naar de applicatie NMBRS, het importeren </w:t>
      </w:r>
      <w:r>
        <w:t xml:space="preserve">en registeren van diens looncomponenten inclusief netto bedragen in Xpert Suite en deze (automatisch) te verwerken als claim en boeking die vervolgens geëxporteerd kunnen worden naar een backoffice applicatie. </w:t>
      </w:r>
    </w:p>
    <w:p w14:paraId="4EC83A0A" w14:textId="77777777" w:rsidR="0056547D" w:rsidRPr="00072810" w:rsidRDefault="0056547D" w:rsidP="0056547D">
      <w:pPr>
        <w:rPr>
          <w:highlight w:val="yellow"/>
        </w:rPr>
      </w:pPr>
    </w:p>
    <w:p w14:paraId="72675FDB" w14:textId="7D35B131" w:rsidR="0056547D" w:rsidRDefault="00572CB6" w:rsidP="0056547D">
      <w:r>
        <w:t>De</w:t>
      </w:r>
      <w:r w:rsidR="0056547D" w:rsidRPr="00045142">
        <w:t xml:space="preserve"> beschrijving van de ondersteuning van de claimafhandeling van </w:t>
      </w:r>
      <w:r w:rsidR="001301D2" w:rsidRPr="00045142">
        <w:t>WIA-verzekeringspolissen</w:t>
      </w:r>
      <w:r w:rsidR="0056547D" w:rsidRPr="00045142">
        <w:t xml:space="preserve"> is slechts hoog</w:t>
      </w:r>
      <w:r w:rsidR="001301D2">
        <w:t xml:space="preserve"> </w:t>
      </w:r>
      <w:r w:rsidR="0056547D" w:rsidRPr="00045142">
        <w:t>over, maar mocht je naar aanleiding hiervan meer willen horen over de werking van de module Inkomensverzekeringen</w:t>
      </w:r>
      <w:r w:rsidR="00C81A34">
        <w:t xml:space="preserve"> en Verloning</w:t>
      </w:r>
      <w:r w:rsidR="0056547D" w:rsidRPr="00045142">
        <w:t xml:space="preserve"> van </w:t>
      </w:r>
      <w:r w:rsidR="00C81A34">
        <w:t xml:space="preserve">de </w:t>
      </w:r>
      <w:r w:rsidR="0056547D" w:rsidRPr="00045142">
        <w:t>Xpert Suite en de bijbehorende implementatie, neem dan contact op met de Customer Success Manager voor meer informatie.</w:t>
      </w:r>
      <w:bookmarkEnd w:id="22"/>
    </w:p>
    <w:p w14:paraId="6514298C" w14:textId="77777777" w:rsidR="001301D2" w:rsidRDefault="001301D2" w:rsidP="0056547D"/>
    <w:p w14:paraId="02D546AE" w14:textId="437A9FAC" w:rsidR="0056547D" w:rsidRDefault="00326B8B" w:rsidP="0056547D">
      <w:pPr>
        <w:pStyle w:val="Heading4"/>
      </w:pPr>
      <w:bookmarkStart w:id="23" w:name="_Ref100125824"/>
      <w:bookmarkStart w:id="24" w:name="_Toc100239847"/>
      <w:r>
        <w:t>T</w:t>
      </w:r>
      <w:r w:rsidR="0056547D">
        <w:t>rajectsoort koppelen aan verzekeringstype en traject starten</w:t>
      </w:r>
      <w:bookmarkEnd w:id="23"/>
      <w:bookmarkEnd w:id="24"/>
    </w:p>
    <w:p w14:paraId="4B0526E6" w14:textId="77777777" w:rsidR="0056547D" w:rsidRDefault="0056547D" w:rsidP="0056547D">
      <w:pPr>
        <w:rPr>
          <w:u w:val="single"/>
        </w:rPr>
      </w:pPr>
      <w:r>
        <w:rPr>
          <w:u w:val="single"/>
        </w:rPr>
        <w:t>Waarom deze wijziging?</w:t>
      </w:r>
    </w:p>
    <w:p w14:paraId="1FB22D69" w14:textId="5418387A" w:rsidR="0056547D" w:rsidRDefault="0056547D" w:rsidP="0056547D">
      <w:r>
        <w:t>Voor</w:t>
      </w:r>
      <w:r w:rsidR="001301D2">
        <w:t>dat</w:t>
      </w:r>
      <w:r>
        <w:t xml:space="preserve"> er een </w:t>
      </w:r>
      <w:r w:rsidR="001301D2">
        <w:t>WIA-verloningstraject</w:t>
      </w:r>
      <w:r>
        <w:t xml:space="preserve"> gestart kan worden</w:t>
      </w:r>
      <w:r w:rsidR="001301D2">
        <w:t>,</w:t>
      </w:r>
      <w:r>
        <w:t xml:space="preserve"> moet er gedefinieerd worden welk trajectsoort een WIA</w:t>
      </w:r>
      <w:r w:rsidR="001301D2">
        <w:t>-</w:t>
      </w:r>
      <w:r>
        <w:t>verloningstype heeft. Dit</w:t>
      </w:r>
      <w:r w:rsidR="001301D2">
        <w:t>,</w:t>
      </w:r>
      <w:r>
        <w:t xml:space="preserve"> om ervoor te zorgen dat als het WIA</w:t>
      </w:r>
      <w:r w:rsidR="001301D2">
        <w:t>-</w:t>
      </w:r>
      <w:r>
        <w:t>traject gestart word</w:t>
      </w:r>
      <w:r w:rsidR="001301D2">
        <w:t>t</w:t>
      </w:r>
      <w:r>
        <w:t xml:space="preserve">, deze terug te vinden is </w:t>
      </w:r>
      <w:r w:rsidR="001301D2">
        <w:t>op het ‘Quickview-tabblad’</w:t>
      </w:r>
      <w:r w:rsidR="00572CB6">
        <w:t xml:space="preserve"> op het werknemersdossier</w:t>
      </w:r>
      <w:r>
        <w:t xml:space="preserve">. </w:t>
      </w:r>
      <w:r w:rsidR="001301D2">
        <w:t>ZW-trajecten</w:t>
      </w:r>
      <w:r w:rsidR="00840ADC">
        <w:t xml:space="preserve"> worden standaard al getoond op het Quickview, </w:t>
      </w:r>
      <w:r>
        <w:t>aangezien deze gekoppeld zit</w:t>
      </w:r>
      <w:r w:rsidR="00840ADC">
        <w:t>ten</w:t>
      </w:r>
      <w:r>
        <w:t xml:space="preserve"> aan het standaard ‘VerzuimExpert – Ziekte (WVP)’</w:t>
      </w:r>
      <w:r w:rsidR="001301D2">
        <w:t>-</w:t>
      </w:r>
      <w:r>
        <w:t xml:space="preserve">trajectsoort. </w:t>
      </w:r>
    </w:p>
    <w:p w14:paraId="4E41B234" w14:textId="77777777" w:rsidR="001301D2" w:rsidRDefault="001301D2" w:rsidP="0056547D"/>
    <w:p w14:paraId="1184D62F" w14:textId="207BD334" w:rsidR="0056547D" w:rsidRDefault="0056547D" w:rsidP="0056547D">
      <w:pPr>
        <w:rPr>
          <w:u w:val="single"/>
          <w:lang w:eastAsia="nl-NL"/>
        </w:rPr>
      </w:pPr>
      <w:r>
        <w:rPr>
          <w:u w:val="single"/>
          <w:lang w:eastAsia="nl-NL"/>
        </w:rPr>
        <w:t>Compliancy met privacyregels</w:t>
      </w:r>
    </w:p>
    <w:p w14:paraId="30199607" w14:textId="5D03BEF1" w:rsidR="0056547D" w:rsidRDefault="0056547D" w:rsidP="0056547D">
      <w:pPr>
        <w:rPr>
          <w:lang w:eastAsia="nl-NL"/>
        </w:rPr>
      </w:pPr>
      <w:r>
        <w:rPr>
          <w:lang w:eastAsia="nl-NL"/>
        </w:rPr>
        <w:t>Standaard staan de instellingen voor WIA niet aan bij de klanten wanneer verloning gebruikt word</w:t>
      </w:r>
      <w:r w:rsidR="001301D2">
        <w:rPr>
          <w:lang w:eastAsia="nl-NL"/>
        </w:rPr>
        <w:t>t</w:t>
      </w:r>
      <w:r>
        <w:rPr>
          <w:lang w:eastAsia="nl-NL"/>
        </w:rPr>
        <w:t>. Eveneens is het niet gewenst dat iedere gebruiker een trajectsoort mag koppelen aan een verzekeringstype,</w:t>
      </w:r>
      <w:r w:rsidR="001301D2">
        <w:rPr>
          <w:lang w:eastAsia="nl-NL"/>
        </w:rPr>
        <w:t xml:space="preserve"> daarom is hier een nieuwe </w:t>
      </w:r>
      <w:r>
        <w:rPr>
          <w:lang w:eastAsia="nl-NL"/>
        </w:rPr>
        <w:t>autorisatie</w:t>
      </w:r>
      <w:r w:rsidR="001301D2">
        <w:rPr>
          <w:lang w:eastAsia="nl-NL"/>
        </w:rPr>
        <w:t xml:space="preserve"> voor toegevoegd.</w:t>
      </w:r>
    </w:p>
    <w:p w14:paraId="609D52EC" w14:textId="77777777" w:rsidR="0056547D" w:rsidRDefault="0056547D" w:rsidP="0056547D"/>
    <w:p w14:paraId="0535B209" w14:textId="77777777" w:rsidR="00DC799B" w:rsidRDefault="00DC799B" w:rsidP="0056547D">
      <w:pPr>
        <w:rPr>
          <w:u w:val="single"/>
        </w:rPr>
      </w:pPr>
    </w:p>
    <w:p w14:paraId="0F08EA47" w14:textId="77777777" w:rsidR="00DC799B" w:rsidRDefault="00DC799B" w:rsidP="0056547D">
      <w:pPr>
        <w:rPr>
          <w:u w:val="single"/>
        </w:rPr>
      </w:pPr>
    </w:p>
    <w:p w14:paraId="0E831369" w14:textId="77FBB984" w:rsidR="0056547D" w:rsidRDefault="0056547D" w:rsidP="0056547D">
      <w:pPr>
        <w:rPr>
          <w:u w:val="single"/>
        </w:rPr>
      </w:pPr>
      <w:r>
        <w:rPr>
          <w:u w:val="single"/>
        </w:rPr>
        <w:lastRenderedPageBreak/>
        <w:t>Beschrijving van de wijzigingen</w:t>
      </w:r>
    </w:p>
    <w:p w14:paraId="274EB5B8" w14:textId="4D6974AC" w:rsidR="000E5E57" w:rsidRDefault="000E5E57" w:rsidP="0056547D">
      <w:r>
        <w:t xml:space="preserve">In </w:t>
      </w:r>
      <w:r w:rsidR="0056547D">
        <w:t>beheer</w:t>
      </w:r>
      <w:r>
        <w:t xml:space="preserve"> is er</w:t>
      </w:r>
      <w:r w:rsidR="0056547D">
        <w:t xml:space="preserve"> een overzicht toegevoegd om trajectsoorten te</w:t>
      </w:r>
      <w:r>
        <w:t xml:space="preserve"> kunnen</w:t>
      </w:r>
      <w:r w:rsidR="0056547D">
        <w:t xml:space="preserve"> koppelen aan verloningstypes. D</w:t>
      </w:r>
      <w:r>
        <w:t xml:space="preserve">eze functionaliteit is </w:t>
      </w:r>
      <w:r w:rsidR="0056547D">
        <w:t xml:space="preserve">te vinden onder </w:t>
      </w:r>
      <w:r w:rsidR="0056547D" w:rsidRPr="000E5E57">
        <w:t xml:space="preserve">Beheer </w:t>
      </w:r>
      <w:r w:rsidR="00B7579C" w:rsidRPr="000E5E57">
        <w:t>&gt;</w:t>
      </w:r>
      <w:r w:rsidR="0056547D" w:rsidRPr="000E5E57">
        <w:t xml:space="preserve"> </w:t>
      </w:r>
      <w:r w:rsidRPr="000E5E57">
        <w:t>D</w:t>
      </w:r>
      <w:r w:rsidR="0056547D" w:rsidRPr="000E5E57">
        <w:t xml:space="preserve">ienstverlening </w:t>
      </w:r>
      <w:r w:rsidR="00B7579C" w:rsidRPr="000E5E57">
        <w:t>&gt;</w:t>
      </w:r>
      <w:r w:rsidR="0056547D" w:rsidRPr="000E5E57">
        <w:t xml:space="preserve"> Trajectsoort verloningstypes beheer.</w:t>
      </w:r>
      <w:r w:rsidR="0056547D">
        <w:t xml:space="preserve"> Om dit beheerscherm te kunnen benaderen</w:t>
      </w:r>
      <w:r>
        <w:t>,</w:t>
      </w:r>
      <w:r w:rsidR="0056547D">
        <w:t xml:space="preserve"> moet de gebruiker de juiste </w:t>
      </w:r>
      <w:r>
        <w:t>autorisatie</w:t>
      </w:r>
      <w:r w:rsidR="0056547D">
        <w:t xml:space="preserve"> hebben. Deze</w:t>
      </w:r>
      <w:r>
        <w:t xml:space="preserve"> autorisatie</w:t>
      </w:r>
      <w:r w:rsidR="0056547D">
        <w:t xml:space="preserve"> is</w:t>
      </w:r>
      <w:r>
        <w:t xml:space="preserve"> in te stellen in </w:t>
      </w:r>
      <w:r w:rsidRPr="000E5E57">
        <w:t>G</w:t>
      </w:r>
      <w:r w:rsidR="0056547D" w:rsidRPr="000E5E57">
        <w:t xml:space="preserve">ebruikersbeheer </w:t>
      </w:r>
      <w:r w:rsidRPr="000E5E57">
        <w:t>&gt; A</w:t>
      </w:r>
      <w:r w:rsidR="0056547D" w:rsidRPr="000E5E57">
        <w:t>utorisaties</w:t>
      </w:r>
      <w:r w:rsidR="00B7579C" w:rsidRPr="000E5E57">
        <w:t xml:space="preserve"> &gt; </w:t>
      </w:r>
      <w:r>
        <w:t>V</w:t>
      </w:r>
      <w:r w:rsidR="0056547D" w:rsidRPr="000E5E57">
        <w:t>erloning</w:t>
      </w:r>
      <w:r w:rsidR="00B7579C" w:rsidRPr="000E5E57">
        <w:t xml:space="preserve"> &gt;</w:t>
      </w:r>
      <w:r>
        <w:t xml:space="preserve"> </w:t>
      </w:r>
      <w:r w:rsidR="0056547D" w:rsidRPr="000E5E57">
        <w:t xml:space="preserve">‘Trajectsoorten koppelen aan verloningstype’. </w:t>
      </w:r>
    </w:p>
    <w:p w14:paraId="61ADD04F" w14:textId="641D6121" w:rsidR="00840ADC" w:rsidRDefault="00840ADC" w:rsidP="0056547D"/>
    <w:p w14:paraId="7C6DE2B1" w14:textId="144C771C" w:rsidR="000E5E57" w:rsidRDefault="000E5E57" w:rsidP="0056547D">
      <w:r w:rsidRPr="003C5049">
        <w:rPr>
          <w:noProof/>
        </w:rPr>
        <w:drawing>
          <wp:inline distT="0" distB="0" distL="0" distR="0" wp14:anchorId="3A388BA5" wp14:editId="0A9514D2">
            <wp:extent cx="5731510" cy="1539240"/>
            <wp:effectExtent l="0" t="0" r="2540" b="3810"/>
            <wp:docPr id="10" name="Afbeelding 10"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Graphical user interface, text, application, email, website&#10;&#10;Description automatically generated"/>
                    <pic:cNvPicPr/>
                  </pic:nvPicPr>
                  <pic:blipFill>
                    <a:blip r:embed="rId10"/>
                    <a:stretch>
                      <a:fillRect/>
                    </a:stretch>
                  </pic:blipFill>
                  <pic:spPr>
                    <a:xfrm>
                      <a:off x="0" y="0"/>
                      <a:ext cx="5731510" cy="1539240"/>
                    </a:xfrm>
                    <a:prstGeom prst="rect">
                      <a:avLst/>
                    </a:prstGeom>
                  </pic:spPr>
                </pic:pic>
              </a:graphicData>
            </a:graphic>
          </wp:inline>
        </w:drawing>
      </w:r>
    </w:p>
    <w:p w14:paraId="54823733" w14:textId="77777777" w:rsidR="000E5E57" w:rsidRDefault="000E5E57" w:rsidP="0056547D"/>
    <w:p w14:paraId="3912ABBB" w14:textId="7B8D2D46" w:rsidR="0056547D" w:rsidRDefault="0056547D" w:rsidP="0056547D">
      <w:r>
        <w:t xml:space="preserve">In </w:t>
      </w:r>
      <w:r w:rsidR="00840ADC">
        <w:t xml:space="preserve">het beheerscherm </w:t>
      </w:r>
      <w:r>
        <w:t>is het mogelijk om de gekoppelde trajectsoorten in te zien, trajectsoorten te koppelen en</w:t>
      </w:r>
      <w:r w:rsidR="00840ADC">
        <w:t xml:space="preserve"> koppelingen</w:t>
      </w:r>
      <w:r>
        <w:t xml:space="preserve"> te verwijderen. Bij de knop ‘</w:t>
      </w:r>
      <w:r w:rsidR="00840ADC">
        <w:t>T</w:t>
      </w:r>
      <w:r>
        <w:t>rajectsoort toevoegen’ is het mogelijk om een trajectsoort te selecteren en vervolgens een van de verloningstypes (ZW of WIA)</w:t>
      </w:r>
      <w:r w:rsidR="00840ADC">
        <w:t xml:space="preserve"> te kiezen</w:t>
      </w:r>
      <w:r>
        <w:t xml:space="preserve">. Deze trajectsoorten kunnen allemaal ook ‘ontkoppeld’ worden op de standaard ‘VerzuimExpert – Ziekte (WVP)’ trajectsoort. </w:t>
      </w:r>
    </w:p>
    <w:p w14:paraId="261BED03" w14:textId="77777777" w:rsidR="00242415" w:rsidRDefault="00242415" w:rsidP="0056547D"/>
    <w:p w14:paraId="18605526" w14:textId="1337E883" w:rsidR="00242415" w:rsidRDefault="00242415" w:rsidP="00242415">
      <w:r w:rsidRPr="000E5E57">
        <w:t>Wanneer</w:t>
      </w:r>
      <w:r>
        <w:t xml:space="preserve"> een trajectsoort gekoppeld is aan een verloningstype en dit traject wordt gestart bij een werknemer, zal er in de Quickview een tab zichtbaar worden waar de verloningswidgets van het desbetreffende traject inzichtelijk zijn.</w:t>
      </w:r>
    </w:p>
    <w:p w14:paraId="59BAA33B" w14:textId="77777777" w:rsidR="00242415" w:rsidRPr="007F1886" w:rsidRDefault="00242415" w:rsidP="00242415"/>
    <w:p w14:paraId="1C52F688" w14:textId="6ACF19C1" w:rsidR="0056547D" w:rsidRDefault="0056547D" w:rsidP="0056547D">
      <w:r>
        <w:t xml:space="preserve">Let op: </w:t>
      </w:r>
      <w:r w:rsidR="00840ADC">
        <w:t>als</w:t>
      </w:r>
      <w:r>
        <w:t xml:space="preserve"> een trajectsoort verwijderd word</w:t>
      </w:r>
      <w:r w:rsidR="00840ADC">
        <w:t>t</w:t>
      </w:r>
      <w:r>
        <w:t xml:space="preserve"> </w:t>
      </w:r>
      <w:r w:rsidR="00840ADC">
        <w:t xml:space="preserve">uit het overzicht </w:t>
      </w:r>
      <w:r>
        <w:t>terwijl er al verloningstrajecten lopen</w:t>
      </w:r>
      <w:r w:rsidR="00840ADC">
        <w:t>,</w:t>
      </w:r>
      <w:r>
        <w:t xml:space="preserve"> dan zal de verloning doorgaan</w:t>
      </w:r>
      <w:r w:rsidR="00840ADC">
        <w:t xml:space="preserve">! </w:t>
      </w:r>
      <w:r>
        <w:t xml:space="preserve">De koppeling </w:t>
      </w:r>
      <w:r w:rsidR="00840ADC">
        <w:t xml:space="preserve">die je in het beheerscherm ziet, </w:t>
      </w:r>
      <w:r>
        <w:t>zorgt er alleen voor dat het traject getoond word</w:t>
      </w:r>
      <w:r w:rsidR="00840ADC">
        <w:t>t</w:t>
      </w:r>
      <w:r>
        <w:t xml:space="preserve"> in de </w:t>
      </w:r>
      <w:r w:rsidR="00840ADC">
        <w:t>Q</w:t>
      </w:r>
      <w:r>
        <w:t>uickview.</w:t>
      </w:r>
    </w:p>
    <w:p w14:paraId="35C891D4" w14:textId="78646EE3" w:rsidR="0056547D" w:rsidRDefault="0056547D" w:rsidP="0056547D"/>
    <w:p w14:paraId="6A8F445C" w14:textId="77777777" w:rsidR="0056547D" w:rsidRDefault="0056547D" w:rsidP="0056547D"/>
    <w:p w14:paraId="153E6F2A" w14:textId="1C24C492" w:rsidR="0056547D" w:rsidRDefault="0056547D" w:rsidP="0056547D">
      <w:pPr>
        <w:pStyle w:val="Heading4"/>
      </w:pPr>
      <w:bookmarkStart w:id="25" w:name="_Toc100239848"/>
      <w:r>
        <w:t xml:space="preserve">Verloning </w:t>
      </w:r>
      <w:r w:rsidR="00326B8B">
        <w:t>s</w:t>
      </w:r>
      <w:r>
        <w:t>tarten op werkgever</w:t>
      </w:r>
      <w:bookmarkEnd w:id="25"/>
    </w:p>
    <w:p w14:paraId="173B6DC2" w14:textId="77777777" w:rsidR="0056547D" w:rsidRDefault="0056547D" w:rsidP="0056547D">
      <w:pPr>
        <w:rPr>
          <w:u w:val="single"/>
        </w:rPr>
      </w:pPr>
      <w:r>
        <w:rPr>
          <w:u w:val="single"/>
        </w:rPr>
        <w:t>Waarom deze wijziging?</w:t>
      </w:r>
    </w:p>
    <w:p w14:paraId="5DEE7A99" w14:textId="1FEE7458" w:rsidR="0056547D" w:rsidRDefault="0056547D" w:rsidP="0056547D">
      <w:r>
        <w:t xml:space="preserve">Het moet mogelijk worden om </w:t>
      </w:r>
      <w:r w:rsidR="00242415">
        <w:t>WIA-verloningsgegevens</w:t>
      </w:r>
      <w:r>
        <w:t xml:space="preserve"> op werkgeverniveau vast te leggen. Dit moet apart kunnen ten opzichte van ZW</w:t>
      </w:r>
      <w:r w:rsidR="00242415">
        <w:t>,</w:t>
      </w:r>
      <w:r>
        <w:t xml:space="preserve"> zodat er een start- en einddatum, debiteur en verloningsperiode vastgelegd kan worden. </w:t>
      </w:r>
    </w:p>
    <w:p w14:paraId="4107F8BA" w14:textId="77777777" w:rsidR="001301D2" w:rsidRDefault="001301D2" w:rsidP="0056547D"/>
    <w:p w14:paraId="20E23898" w14:textId="77777777" w:rsidR="0056547D" w:rsidRPr="007E3196" w:rsidRDefault="0056547D" w:rsidP="0056547D">
      <w:pPr>
        <w:rPr>
          <w:u w:val="single"/>
        </w:rPr>
      </w:pPr>
      <w:r>
        <w:rPr>
          <w:u w:val="single"/>
        </w:rPr>
        <w:t>Beschrijving van de wijzigingen</w:t>
      </w:r>
    </w:p>
    <w:p w14:paraId="21A1E01C" w14:textId="47204D94" w:rsidR="0056547D" w:rsidRPr="0056547D" w:rsidRDefault="0056547D" w:rsidP="0056547D">
      <w:r>
        <w:t xml:space="preserve">Om de </w:t>
      </w:r>
      <w:r w:rsidR="00242415">
        <w:t>WIA-gegevens</w:t>
      </w:r>
      <w:r>
        <w:t xml:space="preserve"> in te kunnen stellen op werkgeverniveau</w:t>
      </w:r>
      <w:r w:rsidR="00242415">
        <w:t>,</w:t>
      </w:r>
      <w:r>
        <w:t xml:space="preserve"> moet</w:t>
      </w:r>
      <w:r w:rsidR="00242415">
        <w:t>en</w:t>
      </w:r>
      <w:r>
        <w:t xml:space="preserve"> deze eerst zichtbaar gemaakt worden. Dit kan door de productparameter ‘EnableWiaWag</w:t>
      </w:r>
      <w:r w:rsidRPr="00242415">
        <w:t>ePayment’ op 1 te zetten</w:t>
      </w:r>
      <w:r w:rsidR="00242415" w:rsidRPr="00242415">
        <w:t xml:space="preserve"> in Beheer &gt;</w:t>
      </w:r>
      <w:r w:rsidR="00242415">
        <w:t xml:space="preserve"> </w:t>
      </w:r>
      <w:r w:rsidR="00242415" w:rsidRPr="00242415">
        <w:t>A</w:t>
      </w:r>
      <w:r w:rsidRPr="00242415">
        <w:t xml:space="preserve">pplicatieinstellingen </w:t>
      </w:r>
      <w:r w:rsidR="00B7579C" w:rsidRPr="00242415">
        <w:t>&gt;</w:t>
      </w:r>
      <w:r w:rsidRPr="00242415">
        <w:t xml:space="preserve"> </w:t>
      </w:r>
      <w:r w:rsidR="00242415">
        <w:t>C</w:t>
      </w:r>
      <w:r w:rsidRPr="00242415">
        <w:t xml:space="preserve">onfiguratieparameters </w:t>
      </w:r>
      <w:r w:rsidR="00B7579C" w:rsidRPr="00242415">
        <w:t>&gt;</w:t>
      </w:r>
      <w:r w:rsidRPr="00242415">
        <w:t xml:space="preserve"> WIA.</w:t>
      </w:r>
    </w:p>
    <w:p w14:paraId="4F9B5AC8" w14:textId="77777777" w:rsidR="00242415" w:rsidRDefault="00242415" w:rsidP="0056547D"/>
    <w:p w14:paraId="5A1F512F" w14:textId="36942CDA" w:rsidR="0056547D" w:rsidRDefault="0056547D" w:rsidP="0056547D">
      <w:r>
        <w:t xml:space="preserve">Binnen </w:t>
      </w:r>
      <w:r w:rsidR="00242415">
        <w:t xml:space="preserve">werkgeverbeheer </w:t>
      </w:r>
      <w:r>
        <w:t>onder</w:t>
      </w:r>
      <w:r w:rsidR="00242415">
        <w:t xml:space="preserve"> het tabje ‘V</w:t>
      </w:r>
      <w:r>
        <w:t>erloning</w:t>
      </w:r>
      <w:r w:rsidR="00242415">
        <w:t xml:space="preserve">’, kunnen de </w:t>
      </w:r>
      <w:r>
        <w:t xml:space="preserve">verloningsgegevens vastgelegd worden voor zowel ZW als WIA. Hier kan een startdatum vastgelegd worden en eventueel de einddatum. Het opvoeren van een debiteur maakt het mogelijk om een </w:t>
      </w:r>
      <w:r w:rsidRPr="00414F0F">
        <w:t xml:space="preserve">automatische koppeling </w:t>
      </w:r>
      <w:r>
        <w:t xml:space="preserve">te verschaffen om de </w:t>
      </w:r>
      <w:r>
        <w:lastRenderedPageBreak/>
        <w:t>looncomponenten door te sturen</w:t>
      </w:r>
      <w:r w:rsidRPr="00414F0F">
        <w:t xml:space="preserve"> naar de applicatie NMBRS</w:t>
      </w:r>
      <w:r>
        <w:t>. Nadat de verloningsgegevens opgeslagen zijn bij de werkgever</w:t>
      </w:r>
      <w:r w:rsidR="00242415">
        <w:t>,</w:t>
      </w:r>
      <w:r>
        <w:t xml:space="preserve"> kan </w:t>
      </w:r>
      <w:r w:rsidR="00242415">
        <w:t xml:space="preserve">er </w:t>
      </w:r>
      <w:r>
        <w:t>een verloningstraject gestart worden bij de werknemers.</w:t>
      </w:r>
    </w:p>
    <w:p w14:paraId="7E7A6F0F" w14:textId="77777777" w:rsidR="0056547D" w:rsidRDefault="0056547D" w:rsidP="0056547D">
      <w:r w:rsidRPr="002A7610">
        <w:rPr>
          <w:noProof/>
        </w:rPr>
        <w:drawing>
          <wp:inline distT="0" distB="0" distL="0" distR="0" wp14:anchorId="42F43DA7" wp14:editId="2EEE1559">
            <wp:extent cx="4286250" cy="3555413"/>
            <wp:effectExtent l="0" t="0" r="0"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5186" cy="3562825"/>
                    </a:xfrm>
                    <a:prstGeom prst="rect">
                      <a:avLst/>
                    </a:prstGeom>
                  </pic:spPr>
                </pic:pic>
              </a:graphicData>
            </a:graphic>
          </wp:inline>
        </w:drawing>
      </w:r>
    </w:p>
    <w:p w14:paraId="5D6663EA" w14:textId="54480561" w:rsidR="0056547D" w:rsidRDefault="0056547D" w:rsidP="0056547D">
      <w:pPr>
        <w:pStyle w:val="Heading4"/>
      </w:pPr>
      <w:bookmarkStart w:id="26" w:name="_Ref100125749"/>
      <w:bookmarkStart w:id="27" w:name="_Toc100239849"/>
      <w:r>
        <w:t xml:space="preserve">Vaststellen en wijzigen </w:t>
      </w:r>
      <w:r w:rsidR="00326B8B">
        <w:t>v</w:t>
      </w:r>
      <w:r>
        <w:t xml:space="preserve">oorschot </w:t>
      </w:r>
      <w:r w:rsidR="00326B8B">
        <w:t>u</w:t>
      </w:r>
      <w:r>
        <w:t>itkering</w:t>
      </w:r>
      <w:bookmarkEnd w:id="26"/>
      <w:bookmarkEnd w:id="27"/>
    </w:p>
    <w:p w14:paraId="3C14012B" w14:textId="77777777" w:rsidR="0056547D" w:rsidRDefault="0056547D" w:rsidP="0056547D">
      <w:pPr>
        <w:rPr>
          <w:u w:val="single"/>
        </w:rPr>
      </w:pPr>
      <w:r>
        <w:rPr>
          <w:u w:val="single"/>
        </w:rPr>
        <w:t>Waarom deze wijziging?</w:t>
      </w:r>
    </w:p>
    <w:p w14:paraId="667D9D72" w14:textId="0E14E8F9" w:rsidR="0056547D" w:rsidRDefault="0056547D" w:rsidP="0056547D">
      <w:r>
        <w:t>Bij het vaststellen van een ‘voorschot’ van een uitkering</w:t>
      </w:r>
      <w:r w:rsidR="00242415">
        <w:t>,</w:t>
      </w:r>
      <w:r>
        <w:t xml:space="preserve"> kan er bepaald worden hoeveel er uitgekeerd mag worden. Van de bepaalde uitkering kunnen er vervolgens looncomponenten gegeneerd worden</w:t>
      </w:r>
      <w:r w:rsidR="00242415">
        <w:t xml:space="preserve">, welke </w:t>
      </w:r>
      <w:r>
        <w:t xml:space="preserve">ingezet kunnen worden om claims te maken en als boeking weg te schrijven. </w:t>
      </w:r>
      <w:r w:rsidR="00242415">
        <w:t>Na</w:t>
      </w:r>
      <w:r>
        <w:t xml:space="preserve"> verloop van tijd kan</w:t>
      </w:r>
      <w:r w:rsidR="00242415">
        <w:t xml:space="preserve"> het gewenst zijn om </w:t>
      </w:r>
      <w:r>
        <w:t>een ander bedrag uit te keren</w:t>
      </w:r>
      <w:r w:rsidR="0018561E">
        <w:t>, bijvoorbeeld</w:t>
      </w:r>
      <w:r>
        <w:t xml:space="preserve"> n</w:t>
      </w:r>
      <w:r w:rsidR="0018561E">
        <w:t xml:space="preserve">aar </w:t>
      </w:r>
      <w:r>
        <w:t>a</w:t>
      </w:r>
      <w:r w:rsidR="0018561E">
        <w:t xml:space="preserve">anleiding </w:t>
      </w:r>
      <w:r>
        <w:t>v</w:t>
      </w:r>
      <w:r w:rsidR="0018561E">
        <w:t>an</w:t>
      </w:r>
      <w:r>
        <w:t xml:space="preserve"> een </w:t>
      </w:r>
      <w:r w:rsidR="0018561E">
        <w:t xml:space="preserve">ontvangen </w:t>
      </w:r>
      <w:r>
        <w:t>DVU</w:t>
      </w:r>
      <w:r w:rsidR="0018561E">
        <w:t xml:space="preserve"> </w:t>
      </w:r>
      <w:r>
        <w:t xml:space="preserve">vanuit het UWV, vaste afspraken </w:t>
      </w:r>
      <w:r w:rsidR="0018561E">
        <w:t>m</w:t>
      </w:r>
      <w:r>
        <w:t>et de werkgever</w:t>
      </w:r>
      <w:r w:rsidR="0018561E">
        <w:t>,</w:t>
      </w:r>
      <w:r>
        <w:t xml:space="preserve"> of dat een periode zelfs helemaal niet meer uitgekeerd gaat worden. Hierdoor moet het mogelijk gemaakt worden om het uit te keren bedrag te kunnen wijzigen.</w:t>
      </w:r>
    </w:p>
    <w:p w14:paraId="7C0DFB8C" w14:textId="77777777" w:rsidR="0056547D" w:rsidRDefault="0056547D" w:rsidP="0056547D"/>
    <w:p w14:paraId="3F782198" w14:textId="77777777" w:rsidR="0056547D" w:rsidRPr="007E3196" w:rsidRDefault="0056547D" w:rsidP="0056547D">
      <w:pPr>
        <w:rPr>
          <w:u w:val="single"/>
        </w:rPr>
      </w:pPr>
      <w:r>
        <w:rPr>
          <w:u w:val="single"/>
        </w:rPr>
        <w:t>Beschrijving van de wijzigingen</w:t>
      </w:r>
    </w:p>
    <w:p w14:paraId="7EADA83F" w14:textId="0F4CBC63" w:rsidR="0056547D" w:rsidRDefault="0056547D" w:rsidP="0056547D">
      <w:r>
        <w:t>Wanneer er een traject gestart is waarvan het trajectsoort gekoppeld is aan het WIA</w:t>
      </w:r>
      <w:r w:rsidR="0018561E">
        <w:t>-</w:t>
      </w:r>
      <w:r>
        <w:t>verzekeringstype</w:t>
      </w:r>
      <w:r w:rsidR="0018561E">
        <w:t>,</w:t>
      </w:r>
      <w:r>
        <w:t xml:space="preserve"> </w:t>
      </w:r>
      <w:r w:rsidR="0018561E">
        <w:t>zullen</w:t>
      </w:r>
      <w:r>
        <w:t xml:space="preserve"> in de </w:t>
      </w:r>
      <w:r w:rsidR="0018561E">
        <w:t>Q</w:t>
      </w:r>
      <w:r>
        <w:t xml:space="preserve">uickview de nieuwe verloningswidgets getoond worden die specifiek voor WIA beschikbaar zijn. </w:t>
      </w:r>
      <w:r w:rsidR="0018561E">
        <w:t>Net z</w:t>
      </w:r>
      <w:r>
        <w:t xml:space="preserve">oals bij </w:t>
      </w:r>
      <w:r w:rsidR="0018561E">
        <w:t>ZW-verloning,</w:t>
      </w:r>
      <w:r>
        <w:t xml:space="preserve"> moet eerst de </w:t>
      </w:r>
      <w:r w:rsidR="0018561E">
        <w:t>WIA-</w:t>
      </w:r>
      <w:r>
        <w:t xml:space="preserve">verloning gestart worden. </w:t>
      </w:r>
      <w:r w:rsidR="0018561E">
        <w:t>Deze processen werken hetzelfde en kunnen</w:t>
      </w:r>
      <w:r>
        <w:t xml:space="preserve"> van</w:t>
      </w:r>
      <w:r w:rsidR="0018561E">
        <w:t>uit</w:t>
      </w:r>
      <w:r>
        <w:t xml:space="preserve"> de widget gestart worden. Vervolgens kan de gebruiker een voorschot bereken</w:t>
      </w:r>
      <w:r w:rsidR="0018561E">
        <w:t>en</w:t>
      </w:r>
      <w:r>
        <w:t>. Deze</w:t>
      </w:r>
      <w:r w:rsidR="0018561E">
        <w:t xml:space="preserve"> actie</w:t>
      </w:r>
      <w:r>
        <w:t xml:space="preserve"> is beschikbaar via het takenoverzicht of via de widget.</w:t>
      </w:r>
    </w:p>
    <w:p w14:paraId="671C6588" w14:textId="77777777" w:rsidR="0056547D" w:rsidRPr="008D58DA" w:rsidRDefault="0056547D" w:rsidP="0056547D"/>
    <w:p w14:paraId="476FFAEE" w14:textId="77777777" w:rsidR="0056547D" w:rsidRDefault="0056547D" w:rsidP="0056547D">
      <w:r w:rsidRPr="007C7C57">
        <w:rPr>
          <w:noProof/>
        </w:rPr>
        <w:lastRenderedPageBreak/>
        <w:drawing>
          <wp:inline distT="0" distB="0" distL="0" distR="0" wp14:anchorId="7EB5BD76" wp14:editId="1D3258AC">
            <wp:extent cx="5731510" cy="2284095"/>
            <wp:effectExtent l="0" t="0" r="2540"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284095"/>
                    </a:xfrm>
                    <a:prstGeom prst="rect">
                      <a:avLst/>
                    </a:prstGeom>
                  </pic:spPr>
                </pic:pic>
              </a:graphicData>
            </a:graphic>
          </wp:inline>
        </w:drawing>
      </w:r>
    </w:p>
    <w:p w14:paraId="0D230DF2" w14:textId="77777777" w:rsidR="0018561E" w:rsidRDefault="0018561E" w:rsidP="0056547D"/>
    <w:p w14:paraId="2DFA6536" w14:textId="2E2F3066" w:rsidR="0056547D" w:rsidRDefault="0056547D" w:rsidP="0056547D">
      <w:r>
        <w:t>In de berekentaak zullen de velden automatisch gevuld worden voor de werknemer en de polis waaraan het verloningstraject gekoppeld is</w:t>
      </w:r>
      <w:r w:rsidR="0018561E">
        <w:t xml:space="preserve"> (zie onderstaand screenshot)</w:t>
      </w:r>
      <w:r>
        <w:t xml:space="preserve">. </w:t>
      </w:r>
      <w:r w:rsidR="00C959A4">
        <w:t>Ook</w:t>
      </w:r>
      <w:r>
        <w:t xml:space="preserve"> </w:t>
      </w:r>
      <w:r w:rsidR="0018561E">
        <w:t>wordt</w:t>
      </w:r>
      <w:r>
        <w:t xml:space="preserve"> de ingangsdatum automatisch gevuld. </w:t>
      </w:r>
      <w:r w:rsidR="0018561E">
        <w:t xml:space="preserve">Wanneer het </w:t>
      </w:r>
      <w:r>
        <w:t>de eerste keer</w:t>
      </w:r>
      <w:r w:rsidR="0018561E">
        <w:t xml:space="preserve"> is</w:t>
      </w:r>
      <w:r>
        <w:t xml:space="preserve"> dat de berekeningstaak uitgevoerd word</w:t>
      </w:r>
      <w:r w:rsidR="0018561E">
        <w:t>t, zal</w:t>
      </w:r>
      <w:r>
        <w:t xml:space="preserve"> de startdatum van het traject </w:t>
      </w:r>
      <w:r w:rsidR="0018561E">
        <w:t xml:space="preserve">als ingangsdatum </w:t>
      </w:r>
      <w:r w:rsidR="004A7899">
        <w:t>gebruikt</w:t>
      </w:r>
      <w:r>
        <w:t xml:space="preserve"> worden. Bij het opvoeren van een herberekening</w:t>
      </w:r>
      <w:r w:rsidR="0018561E">
        <w:t>,</w:t>
      </w:r>
      <w:r>
        <w:t xml:space="preserve"> zal de huidige datum gebruikt worden als ingangsdatum. Er zijn 3 opties om de uitkering te bepalen:</w:t>
      </w:r>
    </w:p>
    <w:p w14:paraId="7A099FE8" w14:textId="3BF8F460" w:rsidR="0056547D" w:rsidRDefault="0056547D" w:rsidP="0056547D">
      <w:pPr>
        <w:pStyle w:val="ListParagraph"/>
        <w:numPr>
          <w:ilvl w:val="0"/>
          <w:numId w:val="43"/>
        </w:numPr>
      </w:pPr>
      <w:r>
        <w:t xml:space="preserve">Voorschot berekenen op basis van rekenformule: </w:t>
      </w:r>
      <w:r w:rsidR="004A7899">
        <w:t xml:space="preserve">Aan de hand van het </w:t>
      </w:r>
      <w:r>
        <w:t xml:space="preserve">verzekeringstype </w:t>
      </w:r>
      <w:r w:rsidR="004A7899">
        <w:t xml:space="preserve">wordt </w:t>
      </w:r>
      <w:r>
        <w:t xml:space="preserve">de formule opgehaald en getoond die voor dat traject geld. Zo worden er in de formule voor </w:t>
      </w:r>
      <w:r w:rsidR="004A7899">
        <w:t>WIA-basis</w:t>
      </w:r>
      <w:r>
        <w:t xml:space="preserve"> en WIA</w:t>
      </w:r>
      <w:r w:rsidR="004A7899">
        <w:t>-</w:t>
      </w:r>
      <w:r>
        <w:t xml:space="preserve">Bodem andere invoervelden getoond. De velden kunnen handmatig bewerkt worden. </w:t>
      </w:r>
    </w:p>
    <w:p w14:paraId="5E487892" w14:textId="6A4A1B9F" w:rsidR="0056547D" w:rsidRDefault="0056547D" w:rsidP="0056547D">
      <w:pPr>
        <w:pStyle w:val="ListParagraph"/>
        <w:numPr>
          <w:ilvl w:val="0"/>
          <w:numId w:val="43"/>
        </w:numPr>
      </w:pPr>
      <w:r>
        <w:t xml:space="preserve">Voorschot direct opvoeren: Hiermee kan er direct een uitkeringsbedrag opgevoerd worden zonder een formule te gebruiken. Dit kan </w:t>
      </w:r>
      <w:r w:rsidR="004A7899">
        <w:t xml:space="preserve">gebruikt worden wanneer </w:t>
      </w:r>
      <w:r>
        <w:t>er met een werkgever een vast bedrag is afgesproken.</w:t>
      </w:r>
    </w:p>
    <w:p w14:paraId="1D466B75" w14:textId="00552E73" w:rsidR="0056547D" w:rsidRDefault="0056547D" w:rsidP="0056547D">
      <w:pPr>
        <w:pStyle w:val="ListParagraph"/>
        <w:numPr>
          <w:ilvl w:val="0"/>
          <w:numId w:val="43"/>
        </w:numPr>
      </w:pPr>
      <w:r>
        <w:t>Geen voorschot uitkeren: Er word</w:t>
      </w:r>
      <w:r w:rsidR="004A7899">
        <w:t>t</w:t>
      </w:r>
      <w:r>
        <w:t xml:space="preserve"> voor gekozen om in de aankomende periode</w:t>
      </w:r>
      <w:r w:rsidR="004A7899">
        <w:t>(</w:t>
      </w:r>
      <w:r>
        <w:t>s</w:t>
      </w:r>
      <w:r w:rsidR="004A7899">
        <w:t>)</w:t>
      </w:r>
      <w:r>
        <w:t xml:space="preserve"> niets uit te keren. </w:t>
      </w:r>
    </w:p>
    <w:p w14:paraId="319528FE" w14:textId="703E7FCF" w:rsidR="0056547D" w:rsidRDefault="0056547D" w:rsidP="0056547D">
      <w:r>
        <w:t>Om de berekentaak af te ronden</w:t>
      </w:r>
      <w:r w:rsidR="004A7899">
        <w:t>,</w:t>
      </w:r>
      <w:r>
        <w:t xml:space="preserve"> klikt de gebruiker op het </w:t>
      </w:r>
      <w:r w:rsidR="004A7899">
        <w:t>‘D</w:t>
      </w:r>
      <w:r>
        <w:t>efinitief</w:t>
      </w:r>
      <w:r w:rsidR="004A7899">
        <w:t>’-</w:t>
      </w:r>
      <w:r>
        <w:t xml:space="preserve">vinkje en slaat de uitkering op. De meest recente </w:t>
      </w:r>
      <w:r w:rsidR="004A7899">
        <w:t>u</w:t>
      </w:r>
      <w:r>
        <w:t>itkering word</w:t>
      </w:r>
      <w:r w:rsidR="004A7899">
        <w:t>t</w:t>
      </w:r>
      <w:r>
        <w:t xml:space="preserve"> in de widget getoond onder ‘Maandelijks bepaalde uitkering’. In de widget z</w:t>
      </w:r>
      <w:r w:rsidR="004A7899">
        <w:t xml:space="preserve">ullen </w:t>
      </w:r>
      <w:r>
        <w:t>ook de laatste 6 periodes getoond worden en hoeveel</w:t>
      </w:r>
      <w:r w:rsidR="004A7899">
        <w:t xml:space="preserve"> er</w:t>
      </w:r>
      <w:r>
        <w:t xml:space="preserve"> uitgekeerd is. Mocht er </w:t>
      </w:r>
      <w:r w:rsidR="004A7899">
        <w:t>h</w:t>
      </w:r>
      <w:r>
        <w:t xml:space="preserve">et besluit komen om een herberekening te doen </w:t>
      </w:r>
      <w:r w:rsidR="004A7899">
        <w:t>om</w:t>
      </w:r>
      <w:r>
        <w:t xml:space="preserve"> een ander </w:t>
      </w:r>
      <w:r w:rsidR="004A7899">
        <w:t>maandelijks</w:t>
      </w:r>
      <w:r>
        <w:t xml:space="preserve"> bedrag uit te keren</w:t>
      </w:r>
      <w:r w:rsidR="004A7899">
        <w:t>, dan</w:t>
      </w:r>
      <w:r>
        <w:t xml:space="preserve"> kan de gebruiker weer via de widget of via de ta</w:t>
      </w:r>
      <w:r w:rsidR="004A7899">
        <w:t>ak</w:t>
      </w:r>
      <w:r>
        <w:t xml:space="preserve"> het voorschot wijzigen. Mocht de gebruiker </w:t>
      </w:r>
      <w:r w:rsidR="004A7899">
        <w:t>op basis van</w:t>
      </w:r>
      <w:r>
        <w:t xml:space="preserve"> de </w:t>
      </w:r>
      <w:r w:rsidR="004A7899">
        <w:t>rekenf</w:t>
      </w:r>
      <w:r>
        <w:t>ormule de vorige bepaling gedaan hebben van het uit te keren bedrag, dan worden de velden automatisch voorgevuld met deze gegevens.</w:t>
      </w:r>
    </w:p>
    <w:p w14:paraId="425268AC" w14:textId="77777777" w:rsidR="0056547D" w:rsidRDefault="0056547D" w:rsidP="0056547D"/>
    <w:p w14:paraId="6E866480" w14:textId="77777777" w:rsidR="0056547D" w:rsidRDefault="0056547D" w:rsidP="0056547D">
      <w:r w:rsidRPr="0031692E">
        <w:rPr>
          <w:noProof/>
        </w:rPr>
        <w:lastRenderedPageBreak/>
        <w:drawing>
          <wp:inline distT="0" distB="0" distL="0" distR="0" wp14:anchorId="2F807B41" wp14:editId="6F052C00">
            <wp:extent cx="5375632" cy="54673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1377" cy="5473193"/>
                    </a:xfrm>
                    <a:prstGeom prst="rect">
                      <a:avLst/>
                    </a:prstGeom>
                  </pic:spPr>
                </pic:pic>
              </a:graphicData>
            </a:graphic>
          </wp:inline>
        </w:drawing>
      </w:r>
    </w:p>
    <w:p w14:paraId="34CA706C" w14:textId="77777777" w:rsidR="0056547D" w:rsidRDefault="0056547D" w:rsidP="0056547D"/>
    <w:p w14:paraId="5547A4B1" w14:textId="77777777" w:rsidR="0056547D" w:rsidRPr="002A7610" w:rsidRDefault="0056547D" w:rsidP="0056547D"/>
    <w:p w14:paraId="388602C0" w14:textId="2400B754" w:rsidR="0056547D" w:rsidRDefault="0056547D" w:rsidP="0056547D">
      <w:pPr>
        <w:pStyle w:val="Heading4"/>
      </w:pPr>
      <w:bookmarkStart w:id="28" w:name="_Ref100125769"/>
      <w:bookmarkStart w:id="29" w:name="_Toc100239850"/>
      <w:r>
        <w:t xml:space="preserve">Vaststellen correctie </w:t>
      </w:r>
      <w:r w:rsidR="004A7899">
        <w:t>naar aanleiding van</w:t>
      </w:r>
      <w:r>
        <w:t xml:space="preserve"> DVU</w:t>
      </w:r>
      <w:bookmarkEnd w:id="28"/>
      <w:bookmarkEnd w:id="29"/>
    </w:p>
    <w:p w14:paraId="08246189" w14:textId="77777777" w:rsidR="0056547D" w:rsidRDefault="0056547D" w:rsidP="0056547D">
      <w:pPr>
        <w:rPr>
          <w:u w:val="single"/>
        </w:rPr>
      </w:pPr>
      <w:r>
        <w:rPr>
          <w:u w:val="single"/>
        </w:rPr>
        <w:t>Waarom deze wijziging?</w:t>
      </w:r>
    </w:p>
    <w:p w14:paraId="76BE79D1" w14:textId="5E0CF163" w:rsidR="0056547D" w:rsidRDefault="004A7899" w:rsidP="0056547D">
      <w:r>
        <w:t>Na</w:t>
      </w:r>
      <w:r w:rsidR="0056547D">
        <w:t xml:space="preserve"> verloop van tijd zal er vanuit </w:t>
      </w:r>
      <w:r>
        <w:t>het</w:t>
      </w:r>
      <w:r w:rsidR="0056547D">
        <w:t xml:space="preserve"> UWV een definitieve vaststelling van de uitkering (DVU) komen over de afgelopen uitgekeerde periodes. </w:t>
      </w:r>
      <w:r>
        <w:t>In deze vaststelling</w:t>
      </w:r>
      <w:r w:rsidR="0056547D">
        <w:t xml:space="preserve"> staat wat er in de afgelopen periodes eigenlijk uitgekeerd had moeten worden. De gebruiker kan a</w:t>
      </w:r>
      <w:r>
        <w:t>an de hand van</w:t>
      </w:r>
      <w:r w:rsidR="0056547D">
        <w:t xml:space="preserve"> de gegevens die in de DVU staan een correctie doorvoeren over de afgelopen periodes.</w:t>
      </w:r>
    </w:p>
    <w:p w14:paraId="045437D9" w14:textId="77777777" w:rsidR="0056547D" w:rsidRDefault="0056547D" w:rsidP="0056547D"/>
    <w:p w14:paraId="2DEF291E" w14:textId="77777777" w:rsidR="0056547D" w:rsidRPr="007E3196" w:rsidRDefault="0056547D" w:rsidP="0056547D">
      <w:pPr>
        <w:rPr>
          <w:u w:val="single"/>
        </w:rPr>
      </w:pPr>
      <w:r>
        <w:rPr>
          <w:u w:val="single"/>
        </w:rPr>
        <w:t>Beschrijving van de wijzigingen</w:t>
      </w:r>
    </w:p>
    <w:p w14:paraId="4B0940F6" w14:textId="2C80ADB9" w:rsidR="0056547D" w:rsidRPr="00FA68D9" w:rsidRDefault="004A7899" w:rsidP="0056547D">
      <w:r>
        <w:t>Om</w:t>
      </w:r>
      <w:r w:rsidR="0056547D">
        <w:t xml:space="preserve"> een overzicht te krijgen in de correcties die aangebracht zijn door de DVU’s in voorgaande periodes</w:t>
      </w:r>
      <w:r>
        <w:t>,</w:t>
      </w:r>
      <w:r w:rsidR="0056547D">
        <w:t xml:space="preserve"> is</w:t>
      </w:r>
      <w:r>
        <w:t xml:space="preserve"> </w:t>
      </w:r>
      <w:r w:rsidR="0056547D">
        <w:t>een aparte widget</w:t>
      </w:r>
      <w:r>
        <w:t xml:space="preserve"> beschikbaar in de Quickview. Een correctie kan via de widget zelf of via een taak opgevoerd worden. </w:t>
      </w:r>
      <w:r w:rsidR="0056547D">
        <w:t>Dit</w:t>
      </w:r>
      <w:r w:rsidR="00EF3576">
        <w:t xml:space="preserve"> correctie</w:t>
      </w:r>
      <w:r w:rsidR="0056547D">
        <w:t>scherm is grofweg hetzelfde als het berekenscherm van de uitkering, met de optie om volgens de formule of via een direct opgevoerde uitkering door te geven. Naast het berekenen</w:t>
      </w:r>
      <w:r w:rsidR="00EF3576">
        <w:t>,</w:t>
      </w:r>
      <w:r w:rsidR="0056547D">
        <w:t xml:space="preserve"> moet ook de periode aangegeven worden. Door het opvoeren van een periode</w:t>
      </w:r>
      <w:r w:rsidR="00EF3576">
        <w:t>,</w:t>
      </w:r>
      <w:r w:rsidR="0056547D">
        <w:t xml:space="preserve"> kan het al uitgekeerde </w:t>
      </w:r>
      <w:r w:rsidR="0056547D">
        <w:lastRenderedPageBreak/>
        <w:t>bedrag in die periode vergeleken worden met hetgeen wat daadwerkelijk uitgekeerd moest worde</w:t>
      </w:r>
      <w:r w:rsidR="00EF3576">
        <w:t xml:space="preserve">n. Hier zal een </w:t>
      </w:r>
      <w:r w:rsidR="0056547D">
        <w:t>correctiebedrag uit</w:t>
      </w:r>
      <w:r w:rsidR="00EF3576">
        <w:t xml:space="preserve"> </w:t>
      </w:r>
      <w:r w:rsidR="0056547D">
        <w:t>komen. Dit bedrag kan zowel negatief als positief zijn, afhankelijk</w:t>
      </w:r>
      <w:r w:rsidR="00EF3576">
        <w:t xml:space="preserve"> van</w:t>
      </w:r>
      <w:r w:rsidR="0056547D">
        <w:t xml:space="preserve"> hoeveel er uitgekeerd is.</w:t>
      </w:r>
    </w:p>
    <w:p w14:paraId="3D0DE7C6" w14:textId="77777777" w:rsidR="0056547D" w:rsidRPr="00060924" w:rsidRDefault="0056547D" w:rsidP="0056547D"/>
    <w:p w14:paraId="59815891" w14:textId="77777777" w:rsidR="0056547D" w:rsidRPr="00D32ECE" w:rsidRDefault="0056547D" w:rsidP="0056547D">
      <w:r w:rsidRPr="00D32ECE">
        <w:rPr>
          <w:noProof/>
        </w:rPr>
        <w:drawing>
          <wp:inline distT="0" distB="0" distL="0" distR="0" wp14:anchorId="3475EF77" wp14:editId="2B707EA0">
            <wp:extent cx="4363059" cy="2172003"/>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3059" cy="2172003"/>
                    </a:xfrm>
                    <a:prstGeom prst="rect">
                      <a:avLst/>
                    </a:prstGeom>
                  </pic:spPr>
                </pic:pic>
              </a:graphicData>
            </a:graphic>
          </wp:inline>
        </w:drawing>
      </w:r>
    </w:p>
    <w:p w14:paraId="522F9102" w14:textId="77777777" w:rsidR="0056547D" w:rsidRDefault="0056547D" w:rsidP="0056547D"/>
    <w:p w14:paraId="0BC1C69B" w14:textId="1D42A503" w:rsidR="00B2532E" w:rsidRPr="00B2532E" w:rsidRDefault="0056547D" w:rsidP="00B2532E">
      <w:r>
        <w:t>De stappen die hierna volgen om looncomponenten te genereren tot het boeken van de claim</w:t>
      </w:r>
      <w:r w:rsidR="00EF3576">
        <w:t>,</w:t>
      </w:r>
      <w:r>
        <w:t xml:space="preserve"> zijn hetzelfde als bij de ZW</w:t>
      </w:r>
      <w:r w:rsidR="00EF3576">
        <w:t xml:space="preserve">. Deze </w:t>
      </w:r>
      <w:r>
        <w:t>functionaliteit</w:t>
      </w:r>
      <w:r w:rsidR="00EF3576">
        <w:t xml:space="preserve"> zijn terug te vinden in </w:t>
      </w:r>
      <w:r>
        <w:t>eerdere release</w:t>
      </w:r>
      <w:r w:rsidR="00EF3576">
        <w:t xml:space="preserve"> notes.</w:t>
      </w:r>
    </w:p>
    <w:p w14:paraId="44D49410" w14:textId="10134968" w:rsidR="00EE0932" w:rsidRPr="00EE0932" w:rsidRDefault="00EE0932" w:rsidP="00EE0932"/>
    <w:p w14:paraId="2D887401" w14:textId="66D711C2" w:rsidR="00B5699B" w:rsidRDefault="00B5699B" w:rsidP="00B5699B"/>
    <w:p w14:paraId="6F0C47E6" w14:textId="27524B01" w:rsidR="007D78CE" w:rsidRDefault="00B5699B" w:rsidP="007D78CE">
      <w:pPr>
        <w:pStyle w:val="Heading1"/>
      </w:pPr>
      <w:bookmarkStart w:id="30" w:name="_Toc100239851"/>
      <w:r>
        <w:t>Integraties</w:t>
      </w:r>
      <w:bookmarkEnd w:id="30"/>
      <w:r w:rsidR="002A25AE">
        <w:t xml:space="preserve">  </w:t>
      </w:r>
    </w:p>
    <w:p w14:paraId="452F3A37" w14:textId="77777777" w:rsidR="007D78CE" w:rsidRDefault="007D78CE" w:rsidP="007D78CE">
      <w:pPr>
        <w:pStyle w:val="Heading2"/>
        <w:numPr>
          <w:ilvl w:val="1"/>
          <w:numId w:val="35"/>
        </w:numPr>
      </w:pPr>
      <w:bookmarkStart w:id="31" w:name="_Toc100239852"/>
      <w:r>
        <w:t>XS Connect</w:t>
      </w:r>
      <w:bookmarkEnd w:id="31"/>
    </w:p>
    <w:p w14:paraId="75E7D6D5" w14:textId="24334611" w:rsidR="00FE763F" w:rsidRDefault="00FE763F" w:rsidP="00FE763F">
      <w:pPr>
        <w:pStyle w:val="Heading3"/>
        <w:rPr>
          <w:lang w:eastAsia="nl-NL"/>
        </w:rPr>
      </w:pPr>
      <w:bookmarkStart w:id="32" w:name="_Toc100066243"/>
      <w:bookmarkStart w:id="33" w:name="_Toc100239853"/>
      <w:r>
        <w:rPr>
          <w:lang w:eastAsia="nl-NL"/>
        </w:rPr>
        <w:t xml:space="preserve">Standaard export </w:t>
      </w:r>
      <w:r w:rsidR="00572CB6">
        <w:rPr>
          <w:lang w:eastAsia="nl-NL"/>
        </w:rPr>
        <w:t>a</w:t>
      </w:r>
      <w:r>
        <w:rPr>
          <w:lang w:eastAsia="nl-NL"/>
        </w:rPr>
        <w:t>lle WVP</w:t>
      </w:r>
      <w:r w:rsidR="00EF3576">
        <w:rPr>
          <w:lang w:eastAsia="nl-NL"/>
        </w:rPr>
        <w:t>-</w:t>
      </w:r>
      <w:r>
        <w:rPr>
          <w:lang w:eastAsia="nl-NL"/>
        </w:rPr>
        <w:t xml:space="preserve"> en zwangerschapsverloftrajecten</w:t>
      </w:r>
      <w:bookmarkEnd w:id="32"/>
      <w:bookmarkEnd w:id="33"/>
    </w:p>
    <w:p w14:paraId="07DD9306" w14:textId="6EDB6CD3" w:rsidR="00FE763F" w:rsidRPr="00744ACD" w:rsidRDefault="00FE763F" w:rsidP="00EF3576">
      <w:pPr>
        <w:rPr>
          <w:shd w:val="clear" w:color="auto" w:fill="FFFFFF"/>
          <w:lang w:eastAsia="nl-NL"/>
        </w:rPr>
      </w:pPr>
      <w:r>
        <w:rPr>
          <w:shd w:val="clear" w:color="auto" w:fill="FFFFFF"/>
          <w:lang w:eastAsia="nl-NL"/>
        </w:rPr>
        <w:t xml:space="preserve">Er is een nieuw exportonderdeel toegevoegd aan de standaard exports. </w:t>
      </w:r>
      <w:r w:rsidRPr="00744ACD">
        <w:rPr>
          <w:shd w:val="clear" w:color="auto" w:fill="FFFFFF"/>
          <w:lang w:eastAsia="nl-NL"/>
        </w:rPr>
        <w:t xml:space="preserve">Binnen de exportgroep 'Standaard export' is </w:t>
      </w:r>
      <w:r>
        <w:rPr>
          <w:shd w:val="clear" w:color="auto" w:fill="FFFFFF"/>
          <w:lang w:eastAsia="nl-NL"/>
        </w:rPr>
        <w:t>het nu</w:t>
      </w:r>
      <w:r w:rsidRPr="00744ACD">
        <w:rPr>
          <w:shd w:val="clear" w:color="auto" w:fill="FFFFFF"/>
          <w:lang w:eastAsia="nl-NL"/>
        </w:rPr>
        <w:t xml:space="preserve"> mogelijk om een export te maken van alle WVP</w:t>
      </w:r>
      <w:r w:rsidR="00EF3576">
        <w:rPr>
          <w:shd w:val="clear" w:color="auto" w:fill="FFFFFF"/>
          <w:lang w:eastAsia="nl-NL"/>
        </w:rPr>
        <w:t>-</w:t>
      </w:r>
      <w:r w:rsidRPr="00744ACD">
        <w:rPr>
          <w:shd w:val="clear" w:color="auto" w:fill="FFFFFF"/>
          <w:lang w:eastAsia="nl-NL"/>
        </w:rPr>
        <w:t xml:space="preserve"> en zwangerschapsverloftrajecten. Dit houdt in dat er in het exportbestand geen andere protocollen worden </w:t>
      </w:r>
      <w:r>
        <w:rPr>
          <w:shd w:val="clear" w:color="auto" w:fill="FFFFFF"/>
          <w:lang w:eastAsia="nl-NL"/>
        </w:rPr>
        <w:t>opgenomen</w:t>
      </w:r>
      <w:r w:rsidRPr="00744ACD">
        <w:rPr>
          <w:shd w:val="clear" w:color="auto" w:fill="FFFFFF"/>
          <w:lang w:eastAsia="nl-NL"/>
        </w:rPr>
        <w:t xml:space="preserve"> dan deze twee types. </w:t>
      </w:r>
    </w:p>
    <w:p w14:paraId="5A5E0FDD" w14:textId="77777777" w:rsidR="00FE763F" w:rsidRPr="00744ACD" w:rsidRDefault="00FE763F" w:rsidP="00EF3576">
      <w:pPr>
        <w:rPr>
          <w:shd w:val="clear" w:color="auto" w:fill="FFFFFF"/>
          <w:lang w:eastAsia="nl-NL"/>
        </w:rPr>
      </w:pPr>
    </w:p>
    <w:p w14:paraId="65938473" w14:textId="77777777" w:rsidR="00FE763F" w:rsidRPr="00744ACD" w:rsidRDefault="00FE763F" w:rsidP="00EF3576">
      <w:pPr>
        <w:rPr>
          <w:shd w:val="clear" w:color="auto" w:fill="FFFFFF"/>
          <w:lang w:eastAsia="nl-NL"/>
        </w:rPr>
      </w:pPr>
    </w:p>
    <w:p w14:paraId="674D1095" w14:textId="77777777" w:rsidR="00FE763F" w:rsidRPr="00744ACD" w:rsidRDefault="00FE763F" w:rsidP="00FE763F">
      <w:pPr>
        <w:spacing w:line="270" w:lineRule="atLeast"/>
        <w:rPr>
          <w:rFonts w:ascii="Segoe UI" w:eastAsia="Times New Roman" w:hAnsi="Segoe UI" w:cs="Segoe UI"/>
          <w:color w:val="183247"/>
          <w:shd w:val="clear" w:color="auto" w:fill="FFFFFF"/>
          <w:lang w:eastAsia="nl-NL"/>
        </w:rPr>
      </w:pPr>
      <w:r w:rsidRPr="00744ACD">
        <w:rPr>
          <w:rFonts w:ascii="Segoe UI" w:eastAsia="Times New Roman" w:hAnsi="Segoe UI" w:cs="Segoe UI"/>
          <w:noProof/>
          <w:color w:val="183247"/>
          <w:shd w:val="clear" w:color="auto" w:fill="FFFFFF"/>
          <w:lang w:eastAsia="nl-NL"/>
        </w:rPr>
        <w:drawing>
          <wp:inline distT="0" distB="0" distL="0" distR="0" wp14:anchorId="6E81F5A2" wp14:editId="0AB932ED">
            <wp:extent cx="5731510" cy="104140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041400"/>
                    </a:xfrm>
                    <a:prstGeom prst="rect">
                      <a:avLst/>
                    </a:prstGeom>
                    <a:noFill/>
                    <a:ln>
                      <a:noFill/>
                    </a:ln>
                  </pic:spPr>
                </pic:pic>
              </a:graphicData>
            </a:graphic>
          </wp:inline>
        </w:drawing>
      </w:r>
    </w:p>
    <w:p w14:paraId="1282180C" w14:textId="77777777" w:rsidR="00FE763F" w:rsidRPr="00744ACD" w:rsidRDefault="00FE763F" w:rsidP="00FE763F">
      <w:pPr>
        <w:spacing w:line="270" w:lineRule="atLeast"/>
        <w:rPr>
          <w:rFonts w:ascii="Segoe UI" w:eastAsia="Times New Roman" w:hAnsi="Segoe UI" w:cs="Segoe UI"/>
          <w:color w:val="183247"/>
          <w:shd w:val="clear" w:color="auto" w:fill="FFFFFF"/>
          <w:lang w:eastAsia="nl-NL"/>
        </w:rPr>
      </w:pPr>
    </w:p>
    <w:p w14:paraId="23E137C3" w14:textId="77777777" w:rsidR="00FE763F" w:rsidRPr="00744ACD" w:rsidRDefault="00FE763F" w:rsidP="00FE763F">
      <w:pPr>
        <w:spacing w:line="270" w:lineRule="atLeast"/>
        <w:rPr>
          <w:rFonts w:ascii="Segoe UI" w:eastAsia="Times New Roman" w:hAnsi="Segoe UI" w:cs="Segoe UI"/>
          <w:color w:val="183247"/>
          <w:shd w:val="clear" w:color="auto" w:fill="FFFFFF"/>
          <w:lang w:eastAsia="nl-NL"/>
        </w:rPr>
      </w:pPr>
    </w:p>
    <w:p w14:paraId="1224FE8C" w14:textId="2A9CA42D" w:rsidR="00FE763F" w:rsidRDefault="00FE763F" w:rsidP="00FE763F">
      <w:pPr>
        <w:pStyle w:val="Heading3"/>
        <w:rPr>
          <w:lang w:eastAsia="nl-NL"/>
        </w:rPr>
      </w:pPr>
      <w:bookmarkStart w:id="34" w:name="_Toc100066244"/>
      <w:bookmarkStart w:id="35" w:name="_Toc100239854"/>
      <w:r>
        <w:rPr>
          <w:lang w:eastAsia="nl-NL"/>
        </w:rPr>
        <w:t>Leidinggevende gebruikersautorisaties werkgeveroverstijgend bij AFAS</w:t>
      </w:r>
      <w:r w:rsidR="00EF3576">
        <w:rPr>
          <w:lang w:eastAsia="nl-NL"/>
        </w:rPr>
        <w:t>-</w:t>
      </w:r>
      <w:r>
        <w:rPr>
          <w:lang w:eastAsia="nl-NL"/>
        </w:rPr>
        <w:t>koppelingen</w:t>
      </w:r>
      <w:bookmarkEnd w:id="34"/>
      <w:bookmarkEnd w:id="35"/>
    </w:p>
    <w:p w14:paraId="7F3B7295" w14:textId="77777777" w:rsidR="00EF3576" w:rsidRDefault="00EF3576" w:rsidP="00EF3576">
      <w:pPr>
        <w:rPr>
          <w:u w:val="single"/>
        </w:rPr>
      </w:pPr>
      <w:r>
        <w:rPr>
          <w:u w:val="single"/>
        </w:rPr>
        <w:t>Waarom deze wijziging?</w:t>
      </w:r>
    </w:p>
    <w:p w14:paraId="3159A182" w14:textId="77777777" w:rsidR="00EF3576" w:rsidRDefault="00FE763F" w:rsidP="00FE763F">
      <w:pPr>
        <w:rPr>
          <w:lang w:eastAsia="nl-NL"/>
        </w:rPr>
      </w:pPr>
      <w:r>
        <w:rPr>
          <w:lang w:eastAsia="nl-NL"/>
        </w:rPr>
        <w:lastRenderedPageBreak/>
        <w:t>We merken</w:t>
      </w:r>
      <w:r w:rsidR="00EF3576">
        <w:rPr>
          <w:lang w:eastAsia="nl-NL"/>
        </w:rPr>
        <w:t xml:space="preserve"> -</w:t>
      </w:r>
      <w:r>
        <w:rPr>
          <w:lang w:eastAsia="nl-NL"/>
        </w:rPr>
        <w:t xml:space="preserve"> met name bij </w:t>
      </w:r>
      <w:r w:rsidR="00EF3576">
        <w:rPr>
          <w:lang w:eastAsia="nl-NL"/>
        </w:rPr>
        <w:t>AFAS-gebruikerskoppelingen</w:t>
      </w:r>
      <w:r>
        <w:rPr>
          <w:lang w:eastAsia="nl-NL"/>
        </w:rPr>
        <w:t xml:space="preserve"> </w:t>
      </w:r>
      <w:r w:rsidR="00EF3576">
        <w:rPr>
          <w:lang w:eastAsia="nl-NL"/>
        </w:rPr>
        <w:t xml:space="preserve">- </w:t>
      </w:r>
      <w:r>
        <w:rPr>
          <w:lang w:eastAsia="nl-NL"/>
        </w:rPr>
        <w:t>dat het steeds vaker voorkomt dat leidinggevenden op een andere juridische entiteit (werkgever) werkzaam zijn</w:t>
      </w:r>
      <w:r w:rsidR="00EF3576">
        <w:rPr>
          <w:lang w:eastAsia="nl-NL"/>
        </w:rPr>
        <w:t>,</w:t>
      </w:r>
      <w:r>
        <w:rPr>
          <w:lang w:eastAsia="nl-NL"/>
        </w:rPr>
        <w:t xml:space="preserve"> dan de werknemers waar zij leidinggevende van zijn. Tot op heden was het dan niet mogelijk om aan het gebruikersaccount van de leidinggevende de autorisaties toe te voegen van afdelingen die onder een andere juridische entiteit vielen</w:t>
      </w:r>
      <w:r w:rsidR="00EF3576">
        <w:rPr>
          <w:lang w:eastAsia="nl-NL"/>
        </w:rPr>
        <w:t>,</w:t>
      </w:r>
      <w:r>
        <w:rPr>
          <w:lang w:eastAsia="nl-NL"/>
        </w:rPr>
        <w:t xml:space="preserve"> dan waar de leidinggevende zelf werkzaam is.</w:t>
      </w:r>
    </w:p>
    <w:p w14:paraId="48D19414" w14:textId="77777777" w:rsidR="00EF3576" w:rsidRDefault="00EF3576" w:rsidP="00FE763F">
      <w:pPr>
        <w:rPr>
          <w:lang w:eastAsia="nl-NL"/>
        </w:rPr>
      </w:pPr>
    </w:p>
    <w:p w14:paraId="2B2A929E" w14:textId="77777777" w:rsidR="00EF3576" w:rsidRPr="007E3196" w:rsidRDefault="00EF3576" w:rsidP="00EF3576">
      <w:pPr>
        <w:rPr>
          <w:u w:val="single"/>
        </w:rPr>
      </w:pPr>
      <w:r>
        <w:rPr>
          <w:u w:val="single"/>
        </w:rPr>
        <w:t>Beschrijving van de wijzigingen</w:t>
      </w:r>
    </w:p>
    <w:p w14:paraId="07483295" w14:textId="21B2F901" w:rsidR="00FE763F" w:rsidRDefault="00FE763F" w:rsidP="00FE763F">
      <w:pPr>
        <w:rPr>
          <w:lang w:eastAsia="nl-NL"/>
        </w:rPr>
      </w:pPr>
      <w:r>
        <w:rPr>
          <w:lang w:eastAsia="nl-NL"/>
        </w:rPr>
        <w:t xml:space="preserve">De werking van deze koppeling is aangepast. Een gebruikersaccount van een leidinggevende mag alle afdelingen inzien van de doorgegeven OE </w:t>
      </w:r>
      <w:r w:rsidR="00873DDD">
        <w:rPr>
          <w:lang w:eastAsia="nl-NL"/>
        </w:rPr>
        <w:t>(</w:t>
      </w:r>
      <w:proofErr w:type="gramStart"/>
      <w:r w:rsidR="00895C14" w:rsidRPr="00895C14">
        <w:rPr>
          <w:lang w:eastAsia="nl-NL"/>
        </w:rPr>
        <w:t>Organisatie Eenheid</w:t>
      </w:r>
      <w:proofErr w:type="gramEnd"/>
      <w:r w:rsidR="00895C14">
        <w:rPr>
          <w:lang w:eastAsia="nl-NL"/>
        </w:rPr>
        <w:t>)</w:t>
      </w:r>
      <w:r w:rsidR="00873DDD">
        <w:rPr>
          <w:lang w:eastAsia="nl-NL"/>
        </w:rPr>
        <w:t xml:space="preserve"> </w:t>
      </w:r>
      <w:r>
        <w:rPr>
          <w:lang w:eastAsia="nl-NL"/>
        </w:rPr>
        <w:t>waarover een gebruiker de leidinggevende is</w:t>
      </w:r>
      <w:r w:rsidR="00EF3576">
        <w:rPr>
          <w:lang w:eastAsia="nl-NL"/>
        </w:rPr>
        <w:t xml:space="preserve"> -</w:t>
      </w:r>
      <w:r>
        <w:rPr>
          <w:lang w:eastAsia="nl-NL"/>
        </w:rPr>
        <w:t xml:space="preserve"> ongeacht onder welke juridische entiteit deze OE valt. Uiteraard is dit wel beperkt tot de juridische entiteiten die binnen de scope vallen van het klantaccount. </w:t>
      </w:r>
    </w:p>
    <w:p w14:paraId="77C92709" w14:textId="334ECF48" w:rsidR="00FE763F" w:rsidRDefault="00873DDD" w:rsidP="00FE763F">
      <w:pPr>
        <w:rPr>
          <w:lang w:eastAsia="nl-NL"/>
        </w:rPr>
      </w:pPr>
      <w:r>
        <w:rPr>
          <w:lang w:eastAsia="nl-NL"/>
        </w:rPr>
        <w:t xml:space="preserve">Let op: </w:t>
      </w:r>
      <w:r w:rsidR="00FE763F">
        <w:rPr>
          <w:lang w:eastAsia="nl-NL"/>
        </w:rPr>
        <w:t xml:space="preserve">Deze functionaliteit werkt alleen </w:t>
      </w:r>
      <w:proofErr w:type="gramStart"/>
      <w:r w:rsidR="00FE763F">
        <w:rPr>
          <w:lang w:eastAsia="nl-NL"/>
        </w:rPr>
        <w:t>indien</w:t>
      </w:r>
      <w:proofErr w:type="gramEnd"/>
      <w:r w:rsidR="00FE763F">
        <w:rPr>
          <w:lang w:eastAsia="nl-NL"/>
        </w:rPr>
        <w:t xml:space="preserve"> alle juridische entiteiten zijn voorzien van dezelfde organisatiestructuur. </w:t>
      </w:r>
    </w:p>
    <w:p w14:paraId="7AEB8B36" w14:textId="77777777" w:rsidR="00FE763F" w:rsidRDefault="00FE763F" w:rsidP="00FE763F">
      <w:pPr>
        <w:rPr>
          <w:lang w:eastAsia="nl-NL"/>
        </w:rPr>
      </w:pPr>
    </w:p>
    <w:p w14:paraId="39489C11" w14:textId="6BC66B9E" w:rsidR="00FE763F" w:rsidRDefault="00FE763F" w:rsidP="00FE763F">
      <w:pPr>
        <w:pStyle w:val="Heading3"/>
        <w:rPr>
          <w:lang w:eastAsia="nl-NL"/>
        </w:rPr>
      </w:pPr>
      <w:bookmarkStart w:id="36" w:name="_Toc100239855"/>
      <w:r>
        <w:rPr>
          <w:lang w:eastAsia="nl-NL"/>
        </w:rPr>
        <w:t>S</w:t>
      </w:r>
      <w:r w:rsidR="008E458D">
        <w:rPr>
          <w:lang w:eastAsia="nl-NL"/>
        </w:rPr>
        <w:t>IVI</w:t>
      </w:r>
      <w:r>
        <w:rPr>
          <w:lang w:eastAsia="nl-NL"/>
        </w:rPr>
        <w:t>2021 Verzuimbericht</w:t>
      </w:r>
      <w:bookmarkEnd w:id="36"/>
    </w:p>
    <w:p w14:paraId="2F1DD5FA" w14:textId="36597F3C" w:rsidR="00FE763F" w:rsidRDefault="00FE763F" w:rsidP="00FE763F">
      <w:pPr>
        <w:rPr>
          <w:lang w:eastAsia="nl-NL"/>
        </w:rPr>
      </w:pPr>
      <w:r>
        <w:rPr>
          <w:lang w:eastAsia="nl-NL"/>
        </w:rPr>
        <w:t>Vanaf deze release is het mogelijk om het SIVI2021 verzuimbericht te verwerken. Dit bericht wordt zowel als import als export ondersteund. Deze variant heeft een paar kleine aanpassingen ten opzichte van de SIVI2017 versie</w:t>
      </w:r>
      <w:r w:rsidR="00873DDD">
        <w:rPr>
          <w:lang w:eastAsia="nl-NL"/>
        </w:rPr>
        <w:t>:</w:t>
      </w:r>
    </w:p>
    <w:p w14:paraId="26A695CA" w14:textId="50445A60" w:rsidR="00FE763F" w:rsidRDefault="00FE763F" w:rsidP="00FE763F">
      <w:pPr>
        <w:pStyle w:val="ListParagraph"/>
        <w:numPr>
          <w:ilvl w:val="0"/>
          <w:numId w:val="42"/>
        </w:numPr>
        <w:spacing w:before="0" w:after="160" w:line="259" w:lineRule="auto"/>
        <w:contextualSpacing/>
        <w:rPr>
          <w:lang w:eastAsia="nl-NL"/>
        </w:rPr>
      </w:pPr>
      <w:r>
        <w:rPr>
          <w:lang w:eastAsia="nl-NL"/>
        </w:rPr>
        <w:t>GebrSwPakket is toegevoegd en wordt standaard gevuld met “Xpert Suite”</w:t>
      </w:r>
      <w:r w:rsidR="00873DDD">
        <w:rPr>
          <w:lang w:eastAsia="nl-NL"/>
        </w:rPr>
        <w:t>;</w:t>
      </w:r>
    </w:p>
    <w:p w14:paraId="5FCD222D" w14:textId="47C79FA5" w:rsidR="00FE763F" w:rsidRDefault="00FE763F" w:rsidP="00FE763F">
      <w:pPr>
        <w:pStyle w:val="ListParagraph"/>
        <w:numPr>
          <w:ilvl w:val="0"/>
          <w:numId w:val="42"/>
        </w:numPr>
        <w:spacing w:before="0" w:after="160" w:line="259" w:lineRule="auto"/>
        <w:contextualSpacing/>
        <w:rPr>
          <w:lang w:eastAsia="nl-NL"/>
        </w:rPr>
      </w:pPr>
      <w:r>
        <w:rPr>
          <w:lang w:eastAsia="nl-NL"/>
        </w:rPr>
        <w:t xml:space="preserve">GslchtCd </w:t>
      </w:r>
      <w:r w:rsidR="00873DDD">
        <w:rPr>
          <w:lang w:eastAsia="nl-NL"/>
        </w:rPr>
        <w:t>ondersteunt nu ook</w:t>
      </w:r>
      <w:r>
        <w:rPr>
          <w:lang w:eastAsia="nl-NL"/>
        </w:rPr>
        <w:t xml:space="preserve"> “o” (onbekend)</w:t>
      </w:r>
      <w:r w:rsidR="00873DDD">
        <w:rPr>
          <w:lang w:eastAsia="nl-NL"/>
        </w:rPr>
        <w:t>;</w:t>
      </w:r>
    </w:p>
    <w:p w14:paraId="5BA4F03D" w14:textId="225D8CF3" w:rsidR="00FE763F" w:rsidRDefault="00FE763F" w:rsidP="00FE763F">
      <w:pPr>
        <w:pStyle w:val="ListParagraph"/>
        <w:numPr>
          <w:ilvl w:val="0"/>
          <w:numId w:val="42"/>
        </w:numPr>
        <w:spacing w:before="0" w:after="160" w:line="259" w:lineRule="auto"/>
        <w:contextualSpacing/>
        <w:rPr>
          <w:lang w:eastAsia="nl-NL"/>
        </w:rPr>
      </w:pPr>
      <w:r>
        <w:rPr>
          <w:lang w:eastAsia="nl-NL"/>
        </w:rPr>
        <w:t>AantCtrcturenPWk wordt doorgestuurd. Dit gegeven wordt gevuld met het aantal uren dat een medewerker werkzaam is</w:t>
      </w:r>
      <w:r w:rsidR="00873DDD">
        <w:rPr>
          <w:lang w:eastAsia="nl-NL"/>
        </w:rPr>
        <w:t>;</w:t>
      </w:r>
    </w:p>
    <w:p w14:paraId="61A13078" w14:textId="23FA32A9" w:rsidR="00FE763F" w:rsidRDefault="00FE763F" w:rsidP="00FE763F">
      <w:pPr>
        <w:pStyle w:val="ListParagraph"/>
        <w:numPr>
          <w:ilvl w:val="0"/>
          <w:numId w:val="42"/>
        </w:numPr>
        <w:spacing w:before="0" w:after="160" w:line="259" w:lineRule="auto"/>
        <w:contextualSpacing/>
        <w:rPr>
          <w:lang w:eastAsia="nl-NL"/>
        </w:rPr>
      </w:pPr>
      <w:r>
        <w:rPr>
          <w:lang w:eastAsia="nl-NL"/>
        </w:rPr>
        <w:t>DltfctNVS is vervallen</w:t>
      </w:r>
      <w:r w:rsidR="00873DDD">
        <w:rPr>
          <w:lang w:eastAsia="nl-NL"/>
        </w:rPr>
        <w:t>;</w:t>
      </w:r>
    </w:p>
    <w:p w14:paraId="7FCD6367" w14:textId="5076373D" w:rsidR="00FE763F" w:rsidRDefault="00FE763F" w:rsidP="00FE763F">
      <w:pPr>
        <w:pStyle w:val="ListParagraph"/>
        <w:numPr>
          <w:ilvl w:val="0"/>
          <w:numId w:val="42"/>
        </w:numPr>
        <w:spacing w:before="0" w:after="160" w:line="259" w:lineRule="auto"/>
        <w:contextualSpacing/>
        <w:rPr>
          <w:lang w:eastAsia="nl-NL"/>
        </w:rPr>
      </w:pPr>
      <w:r>
        <w:rPr>
          <w:lang w:eastAsia="nl-NL"/>
        </w:rPr>
        <w:t>AantUNormWk wordt meegestuurd en gevuld met het aantal uren dat bij de werkgever bij FTE-Waarde staat vastgelegd</w:t>
      </w:r>
      <w:r w:rsidR="00873DDD">
        <w:rPr>
          <w:lang w:eastAsia="nl-NL"/>
        </w:rPr>
        <w:t>;</w:t>
      </w:r>
    </w:p>
    <w:p w14:paraId="056B5145" w14:textId="623201B0" w:rsidR="00FE763F" w:rsidRDefault="00FE763F" w:rsidP="00FE763F">
      <w:pPr>
        <w:pStyle w:val="ListParagraph"/>
        <w:numPr>
          <w:ilvl w:val="0"/>
          <w:numId w:val="42"/>
        </w:numPr>
        <w:spacing w:before="0" w:after="160" w:line="259" w:lineRule="auto"/>
        <w:contextualSpacing/>
        <w:rPr>
          <w:lang w:eastAsia="nl-NL"/>
        </w:rPr>
      </w:pPr>
      <w:r>
        <w:rPr>
          <w:lang w:eastAsia="nl-NL"/>
        </w:rPr>
        <w:t>LandNaam wordt nu meegestuurd</w:t>
      </w:r>
      <w:r w:rsidR="00873DDD">
        <w:rPr>
          <w:lang w:eastAsia="nl-NL"/>
        </w:rPr>
        <w:t>;</w:t>
      </w:r>
    </w:p>
    <w:p w14:paraId="01197872" w14:textId="3377B7AC" w:rsidR="00FE763F" w:rsidRDefault="00FE763F" w:rsidP="00FE763F">
      <w:pPr>
        <w:pStyle w:val="ListParagraph"/>
        <w:numPr>
          <w:ilvl w:val="0"/>
          <w:numId w:val="42"/>
        </w:numPr>
        <w:spacing w:before="0" w:after="160" w:line="259" w:lineRule="auto"/>
        <w:contextualSpacing/>
        <w:rPr>
          <w:lang w:eastAsia="nl-NL"/>
        </w:rPr>
      </w:pPr>
      <w:r>
        <w:rPr>
          <w:lang w:eastAsia="nl-NL"/>
        </w:rPr>
        <w:t>Zakelijke contactgegevens van de werknemer zijn toegevoegd</w:t>
      </w:r>
      <w:r w:rsidR="00873DDD">
        <w:rPr>
          <w:lang w:eastAsia="nl-NL"/>
        </w:rPr>
        <w:t>.</w:t>
      </w:r>
    </w:p>
    <w:p w14:paraId="492E5F9E" w14:textId="77777777" w:rsidR="00FE763F" w:rsidRDefault="00FE763F" w:rsidP="00FE763F">
      <w:pPr>
        <w:rPr>
          <w:lang w:eastAsia="nl-NL"/>
        </w:rPr>
      </w:pPr>
    </w:p>
    <w:p w14:paraId="1316FEB4" w14:textId="6329CCA6" w:rsidR="00FE763F" w:rsidRDefault="00FE763F" w:rsidP="00FE763F">
      <w:pPr>
        <w:pStyle w:val="Heading3"/>
        <w:rPr>
          <w:lang w:eastAsia="nl-NL"/>
        </w:rPr>
      </w:pPr>
      <w:bookmarkStart w:id="37" w:name="_Toc100239856"/>
      <w:r>
        <w:rPr>
          <w:lang w:eastAsia="nl-NL"/>
        </w:rPr>
        <w:t>Toevoeging S</w:t>
      </w:r>
      <w:r w:rsidR="008E458D">
        <w:rPr>
          <w:lang w:eastAsia="nl-NL"/>
        </w:rPr>
        <w:t>IVI</w:t>
      </w:r>
      <w:r>
        <w:rPr>
          <w:lang w:eastAsia="nl-NL"/>
        </w:rPr>
        <w:t>2017 Medewerker en S</w:t>
      </w:r>
      <w:r w:rsidR="008E458D">
        <w:rPr>
          <w:lang w:eastAsia="nl-NL"/>
        </w:rPr>
        <w:t>IVI</w:t>
      </w:r>
      <w:r>
        <w:rPr>
          <w:lang w:eastAsia="nl-NL"/>
        </w:rPr>
        <w:t>2017 Werkgever template</w:t>
      </w:r>
      <w:bookmarkEnd w:id="37"/>
    </w:p>
    <w:p w14:paraId="7435F736" w14:textId="1369D90C" w:rsidR="00FE763F" w:rsidRDefault="00FE763F" w:rsidP="00FE763F">
      <w:pPr>
        <w:rPr>
          <w:lang w:eastAsia="nl-NL"/>
        </w:rPr>
      </w:pPr>
      <w:r>
        <w:rPr>
          <w:lang w:eastAsia="nl-NL"/>
        </w:rPr>
        <w:t>In verband met de toenemende vraag om gebruik te maken van een aantal templates, zijn de volgende twee templates beschikbaar gemaakt voor alle Xpert Suite omgevingen</w:t>
      </w:r>
      <w:r w:rsidR="00A77EF4">
        <w:rPr>
          <w:lang w:eastAsia="nl-NL"/>
        </w:rPr>
        <w:t>:</w:t>
      </w:r>
    </w:p>
    <w:p w14:paraId="5559B8D2" w14:textId="77777777" w:rsidR="00FE763F" w:rsidRDefault="00FE763F" w:rsidP="00FE763F">
      <w:pPr>
        <w:pStyle w:val="ListParagraph"/>
        <w:numPr>
          <w:ilvl w:val="0"/>
          <w:numId w:val="42"/>
        </w:numPr>
        <w:spacing w:before="0" w:after="160" w:line="259" w:lineRule="auto"/>
        <w:contextualSpacing/>
        <w:rPr>
          <w:lang w:eastAsia="nl-NL"/>
        </w:rPr>
      </w:pPr>
      <w:r>
        <w:rPr>
          <w:lang w:eastAsia="nl-NL"/>
        </w:rPr>
        <w:t>SIVI2017 Medewerker</w:t>
      </w:r>
    </w:p>
    <w:p w14:paraId="6E1420D6" w14:textId="77777777" w:rsidR="00FE763F" w:rsidRDefault="00FE763F" w:rsidP="00FE763F">
      <w:pPr>
        <w:pStyle w:val="ListParagraph"/>
        <w:numPr>
          <w:ilvl w:val="0"/>
          <w:numId w:val="42"/>
        </w:numPr>
        <w:spacing w:before="0" w:after="160" w:line="259" w:lineRule="auto"/>
        <w:contextualSpacing/>
        <w:rPr>
          <w:lang w:eastAsia="nl-NL"/>
        </w:rPr>
      </w:pPr>
      <w:r>
        <w:rPr>
          <w:lang w:eastAsia="nl-NL"/>
        </w:rPr>
        <w:t>SIVI2017 Werkgever</w:t>
      </w:r>
    </w:p>
    <w:p w14:paraId="153C95B3" w14:textId="482AB1E5" w:rsidR="00FE763F" w:rsidRDefault="00FE763F" w:rsidP="00FE763F">
      <w:pPr>
        <w:rPr>
          <w:lang w:eastAsia="nl-NL"/>
        </w:rPr>
      </w:pPr>
      <w:r>
        <w:rPr>
          <w:lang w:eastAsia="nl-NL"/>
        </w:rPr>
        <w:t xml:space="preserve">Met het SIVI2017 Medewerkerbericht is het mogelijk om een volledige medewerkeradministratie in de Xpert Suite te onderhouden. </w:t>
      </w:r>
      <w:proofErr w:type="gramStart"/>
      <w:r>
        <w:rPr>
          <w:lang w:eastAsia="nl-NL"/>
        </w:rPr>
        <w:t>Indien</w:t>
      </w:r>
      <w:proofErr w:type="gramEnd"/>
      <w:r>
        <w:rPr>
          <w:lang w:eastAsia="nl-NL"/>
        </w:rPr>
        <w:t xml:space="preserve"> het betreffende </w:t>
      </w:r>
      <w:r w:rsidR="00A77EF4">
        <w:rPr>
          <w:lang w:eastAsia="nl-NL"/>
        </w:rPr>
        <w:t>HR-systeem</w:t>
      </w:r>
      <w:r>
        <w:rPr>
          <w:lang w:eastAsia="nl-NL"/>
        </w:rPr>
        <w:t xml:space="preserve"> de mogelijkheid ondersteun</w:t>
      </w:r>
      <w:r w:rsidR="00A77EF4">
        <w:rPr>
          <w:lang w:eastAsia="nl-NL"/>
        </w:rPr>
        <w:t>t</w:t>
      </w:r>
      <w:r>
        <w:rPr>
          <w:lang w:eastAsia="nl-NL"/>
        </w:rPr>
        <w:t xml:space="preserve"> om het </w:t>
      </w:r>
      <w:r w:rsidR="00A77EF4">
        <w:rPr>
          <w:lang w:eastAsia="nl-NL"/>
        </w:rPr>
        <w:t>Medewerker</w:t>
      </w:r>
      <w:r>
        <w:rPr>
          <w:lang w:eastAsia="nl-NL"/>
        </w:rPr>
        <w:t xml:space="preserve">bericht te versturen, dan zullen alle aangeleverde medewerkers in de Xpert Suite worden opgevoerd en onderhouden. Let </w:t>
      </w:r>
      <w:r w:rsidR="00C81A34">
        <w:rPr>
          <w:lang w:eastAsia="nl-NL"/>
        </w:rPr>
        <w:t>erop</w:t>
      </w:r>
      <w:r w:rsidR="00A77EF4">
        <w:rPr>
          <w:lang w:eastAsia="nl-NL"/>
        </w:rPr>
        <w:t>,</w:t>
      </w:r>
      <w:r>
        <w:rPr>
          <w:lang w:eastAsia="nl-NL"/>
        </w:rPr>
        <w:t xml:space="preserve"> dat je bij het gebruiken van deze gegevensstroom de </w:t>
      </w:r>
      <w:r w:rsidR="00A77EF4">
        <w:rPr>
          <w:lang w:eastAsia="nl-NL"/>
        </w:rPr>
        <w:t>D</w:t>
      </w:r>
      <w:r>
        <w:rPr>
          <w:lang w:eastAsia="nl-NL"/>
        </w:rPr>
        <w:t xml:space="preserve">atakluis aanzet </w:t>
      </w:r>
      <w:proofErr w:type="gramStart"/>
      <w:r>
        <w:rPr>
          <w:lang w:eastAsia="nl-NL"/>
        </w:rPr>
        <w:t>indien</w:t>
      </w:r>
      <w:proofErr w:type="gramEnd"/>
      <w:r>
        <w:rPr>
          <w:lang w:eastAsia="nl-NL"/>
        </w:rPr>
        <w:t xml:space="preserve"> je geen toegang dient te hebben </w:t>
      </w:r>
      <w:r w:rsidR="00A77EF4">
        <w:rPr>
          <w:lang w:eastAsia="nl-NL"/>
        </w:rPr>
        <w:t>tot</w:t>
      </w:r>
      <w:r>
        <w:rPr>
          <w:lang w:eastAsia="nl-NL"/>
        </w:rPr>
        <w:t xml:space="preserve"> persoonsgegevens waarbij er geen zorgvraag is.</w:t>
      </w:r>
    </w:p>
    <w:p w14:paraId="19EEEFA4" w14:textId="77777777" w:rsidR="00A77EF4" w:rsidRDefault="00A77EF4" w:rsidP="00FE763F">
      <w:pPr>
        <w:rPr>
          <w:lang w:eastAsia="nl-NL"/>
        </w:rPr>
      </w:pPr>
    </w:p>
    <w:p w14:paraId="5047B37E" w14:textId="26C2CAE8" w:rsidR="00FE763F" w:rsidRDefault="00FE763F" w:rsidP="00FE763F">
      <w:pPr>
        <w:rPr>
          <w:lang w:eastAsia="nl-NL"/>
        </w:rPr>
      </w:pPr>
      <w:r>
        <w:rPr>
          <w:lang w:eastAsia="nl-NL"/>
        </w:rPr>
        <w:lastRenderedPageBreak/>
        <w:t xml:space="preserve">Met het SIVI2017 Werkgeverbericht is het mogelijk om een volledige organisatiestructuur in de Xpert Suite te importeren. Hierbij zullen alle afdelingen worden verwerkt met de bijbehorende organisatiestructuur. Informeer bij de verzendende partij of dit bericht tot de mogelijkheden behoort. </w:t>
      </w:r>
    </w:p>
    <w:p w14:paraId="69BDBCD7" w14:textId="77777777" w:rsidR="00FE763F" w:rsidRDefault="00FE763F" w:rsidP="00FE763F">
      <w:pPr>
        <w:rPr>
          <w:lang w:eastAsia="nl-NL"/>
        </w:rPr>
      </w:pPr>
    </w:p>
    <w:p w14:paraId="2F027CAB" w14:textId="2ED1AF84" w:rsidR="00FE763F" w:rsidRDefault="00FE763F" w:rsidP="00FE763F">
      <w:pPr>
        <w:pStyle w:val="Heading3"/>
        <w:rPr>
          <w:lang w:eastAsia="nl-NL"/>
        </w:rPr>
      </w:pPr>
      <w:bookmarkStart w:id="38" w:name="_Toc100239857"/>
      <w:r>
        <w:rPr>
          <w:lang w:eastAsia="nl-NL"/>
        </w:rPr>
        <w:t>S</w:t>
      </w:r>
      <w:r w:rsidR="008E458D">
        <w:rPr>
          <w:lang w:eastAsia="nl-NL"/>
        </w:rPr>
        <w:t>IVI2</w:t>
      </w:r>
      <w:r>
        <w:rPr>
          <w:lang w:eastAsia="nl-NL"/>
        </w:rPr>
        <w:t>017 documenten export VrzmgvlId toegevoegd</w:t>
      </w:r>
      <w:bookmarkEnd w:id="38"/>
    </w:p>
    <w:p w14:paraId="1D4B78FE" w14:textId="77777777" w:rsidR="008E458D" w:rsidRDefault="00FE763F" w:rsidP="008E458D">
      <w:pPr>
        <w:rPr>
          <w:lang w:eastAsia="nl-NL"/>
        </w:rPr>
      </w:pPr>
      <w:r>
        <w:rPr>
          <w:lang w:eastAsia="nl-NL"/>
        </w:rPr>
        <w:t xml:space="preserve">Bij de SIVI2017 Documentenexport is het veld “VrzmgvlId” toegevoegd. </w:t>
      </w:r>
      <w:proofErr w:type="gramStart"/>
      <w:r>
        <w:rPr>
          <w:lang w:eastAsia="nl-NL"/>
        </w:rPr>
        <w:t>Indien</w:t>
      </w:r>
      <w:proofErr w:type="gramEnd"/>
      <w:r>
        <w:rPr>
          <w:lang w:eastAsia="nl-NL"/>
        </w:rPr>
        <w:t xml:space="preserve"> een klant ook een binnenkomende verzuimkoppeling heeft waarbij het TrajectID van het bronsysteem wordt doorgestuurd, dan wordt dit gegeven meegegeven in het veld “VrzmgvlId”. Anders wordt dit veld gevuld met het TrajectID van de Xpert Suite.</w:t>
      </w:r>
      <w:r w:rsidR="008E458D">
        <w:rPr>
          <w:lang w:eastAsia="nl-NL"/>
        </w:rPr>
        <w:t xml:space="preserve"> Dit is een koppeling die nog niet beschikbaar is via XS Connect maar wel door de I&amp;M consultants aangesloten kan worden.</w:t>
      </w:r>
    </w:p>
    <w:p w14:paraId="0D756991" w14:textId="736D6257" w:rsidR="00FE763F" w:rsidRDefault="00FE763F" w:rsidP="00FE763F">
      <w:pPr>
        <w:rPr>
          <w:lang w:eastAsia="nl-NL"/>
        </w:rPr>
      </w:pPr>
    </w:p>
    <w:p w14:paraId="294C9476" w14:textId="77777777" w:rsidR="00FE763F" w:rsidRDefault="00FE763F" w:rsidP="00FE763F">
      <w:pPr>
        <w:pStyle w:val="Heading3"/>
        <w:rPr>
          <w:lang w:eastAsia="nl-NL"/>
        </w:rPr>
      </w:pPr>
      <w:bookmarkStart w:id="39" w:name="_Toc100239858"/>
      <w:r>
        <w:rPr>
          <w:lang w:eastAsia="nl-NL"/>
        </w:rPr>
        <w:t>Standaard gebruikersimport</w:t>
      </w:r>
      <w:bookmarkEnd w:id="39"/>
    </w:p>
    <w:p w14:paraId="79E84CB4" w14:textId="09CBC74F" w:rsidR="00FE763F" w:rsidRDefault="00FE763F" w:rsidP="00FE763F">
      <w:pPr>
        <w:rPr>
          <w:lang w:eastAsia="nl-NL"/>
        </w:rPr>
      </w:pPr>
      <w:r>
        <w:rPr>
          <w:lang w:eastAsia="nl-NL"/>
        </w:rPr>
        <w:t>Er zijn twee verschillende importtemplates ontwikkel</w:t>
      </w:r>
      <w:r w:rsidR="00A77EF4">
        <w:rPr>
          <w:lang w:eastAsia="nl-NL"/>
        </w:rPr>
        <w:t>d,</w:t>
      </w:r>
      <w:r>
        <w:rPr>
          <w:lang w:eastAsia="nl-NL"/>
        </w:rPr>
        <w:t xml:space="preserve"> waarmee via XS Connect gebruikersaccounts kunnen worden aangemaakt en onderhouden</w:t>
      </w:r>
      <w:r w:rsidR="00A77EF4">
        <w:rPr>
          <w:lang w:eastAsia="nl-NL"/>
        </w:rPr>
        <w:t>:</w:t>
      </w:r>
      <w:r>
        <w:rPr>
          <w:lang w:eastAsia="nl-NL"/>
        </w:rPr>
        <w:t xml:space="preserve"> </w:t>
      </w:r>
    </w:p>
    <w:p w14:paraId="5FD38D6D" w14:textId="77777777" w:rsidR="00FE763F" w:rsidRDefault="00FE763F" w:rsidP="00FE763F">
      <w:pPr>
        <w:pStyle w:val="ListParagraph"/>
        <w:numPr>
          <w:ilvl w:val="0"/>
          <w:numId w:val="42"/>
        </w:numPr>
        <w:spacing w:before="0" w:after="160" w:line="259" w:lineRule="auto"/>
        <w:contextualSpacing/>
        <w:rPr>
          <w:lang w:eastAsia="nl-NL"/>
        </w:rPr>
      </w:pPr>
      <w:r>
        <w:rPr>
          <w:lang w:eastAsia="nl-NL"/>
        </w:rPr>
        <w:t>Standaard Gebruiker import op personeelsnummer</w:t>
      </w:r>
    </w:p>
    <w:p w14:paraId="51E56823" w14:textId="77777777" w:rsidR="00FE763F" w:rsidRPr="00CD4EA8" w:rsidRDefault="00FE763F" w:rsidP="00FE763F">
      <w:pPr>
        <w:pStyle w:val="ListParagraph"/>
        <w:numPr>
          <w:ilvl w:val="0"/>
          <w:numId w:val="42"/>
        </w:numPr>
        <w:spacing w:before="0" w:after="160" w:line="259" w:lineRule="auto"/>
        <w:contextualSpacing/>
        <w:rPr>
          <w:lang w:eastAsia="nl-NL"/>
        </w:rPr>
      </w:pPr>
      <w:r>
        <w:rPr>
          <w:lang w:eastAsia="nl-NL"/>
        </w:rPr>
        <w:t>Conversie Volledige Gebruiker import op personeelsnummer</w:t>
      </w:r>
    </w:p>
    <w:p w14:paraId="68D8E2E0" w14:textId="331EF420" w:rsidR="00FE763F" w:rsidRDefault="00FE763F" w:rsidP="00FE763F">
      <w:pPr>
        <w:rPr>
          <w:lang w:eastAsia="nl-NL"/>
        </w:rPr>
      </w:pPr>
      <w:r>
        <w:rPr>
          <w:lang w:eastAsia="nl-NL"/>
        </w:rPr>
        <w:t>Het template ‘Standaard Gebruiker import op personeelsnummer’ heeft de mogelijkheid om gebruikers aan te maken en om bij bestaande gebruikers autorisaties aan te passen. Dit template zal geen gebruikers verwijderen</w:t>
      </w:r>
      <w:r w:rsidR="00A77EF4">
        <w:rPr>
          <w:lang w:eastAsia="nl-NL"/>
        </w:rPr>
        <w:t>,</w:t>
      </w:r>
      <w:r>
        <w:rPr>
          <w:lang w:eastAsia="nl-NL"/>
        </w:rPr>
        <w:t xml:space="preserve"> </w:t>
      </w:r>
      <w:proofErr w:type="gramStart"/>
      <w:r>
        <w:rPr>
          <w:lang w:eastAsia="nl-NL"/>
        </w:rPr>
        <w:t>indien</w:t>
      </w:r>
      <w:proofErr w:type="gramEnd"/>
      <w:r>
        <w:rPr>
          <w:lang w:eastAsia="nl-NL"/>
        </w:rPr>
        <w:t xml:space="preserve"> deze niet in het aangeleverde bestand zitten.</w:t>
      </w:r>
    </w:p>
    <w:p w14:paraId="15F9089E" w14:textId="77777777" w:rsidR="00A77EF4" w:rsidRDefault="00A77EF4" w:rsidP="00FE763F">
      <w:pPr>
        <w:rPr>
          <w:lang w:eastAsia="nl-NL"/>
        </w:rPr>
      </w:pPr>
    </w:p>
    <w:p w14:paraId="6384953F" w14:textId="71C9CEAB" w:rsidR="00FE763F" w:rsidRDefault="00FE763F" w:rsidP="00FE763F">
      <w:pPr>
        <w:rPr>
          <w:lang w:eastAsia="nl-NL"/>
        </w:rPr>
      </w:pPr>
      <w:r>
        <w:rPr>
          <w:lang w:eastAsia="nl-NL"/>
        </w:rPr>
        <w:t>Het template ‘Conversie Volledige Gebruiker import op personeelsnummer’ verwacht in de aanlevering alle gebruikersaccounts die onder de gebruikersgroepen vallen die ingesteld staat op het klantaccount.</w:t>
      </w:r>
      <w:r w:rsidR="00A77EF4">
        <w:rPr>
          <w:lang w:eastAsia="nl-NL"/>
        </w:rPr>
        <w:t xml:space="preserve"> </w:t>
      </w:r>
      <w:r>
        <w:rPr>
          <w:lang w:eastAsia="nl-NL"/>
        </w:rPr>
        <w:t>Gebruikersaccounts die niet in de aanlevering zitten maar wel aanwezig zijn onder de geselecteerde gebruikersgroepen, zullen worden verwijderd uit de Xpert Suite. Dit is wenselijk</w:t>
      </w:r>
      <w:r w:rsidR="00A77EF4">
        <w:rPr>
          <w:lang w:eastAsia="nl-NL"/>
        </w:rPr>
        <w:t xml:space="preserve"> wanneer </w:t>
      </w:r>
      <w:r>
        <w:rPr>
          <w:lang w:eastAsia="nl-NL"/>
        </w:rPr>
        <w:t xml:space="preserve">een gebruiker een andere functie krijgt of uit dienst gaat. </w:t>
      </w:r>
    </w:p>
    <w:p w14:paraId="705E84F9" w14:textId="1F28F97B" w:rsidR="00FE763F" w:rsidRDefault="00FE763F" w:rsidP="00FE763F">
      <w:pPr>
        <w:rPr>
          <w:lang w:eastAsia="nl-NL"/>
        </w:rPr>
      </w:pPr>
      <w:proofErr w:type="gramStart"/>
      <w:r>
        <w:rPr>
          <w:lang w:eastAsia="nl-NL"/>
        </w:rPr>
        <w:t>Indien</w:t>
      </w:r>
      <w:proofErr w:type="gramEnd"/>
      <w:r>
        <w:rPr>
          <w:lang w:eastAsia="nl-NL"/>
        </w:rPr>
        <w:t xml:space="preserve"> er bij de configuratie gekozen wordt voor een Custom mapping, kun je aangeven op welk niveau de autorisaties worden doorgegeven. De keuzes hierbij zijn ‘werknemer’, ‘afdeling’ of ‘werkgever’</w:t>
      </w:r>
      <w:r w:rsidR="00A77EF4">
        <w:rPr>
          <w:lang w:eastAsia="nl-NL"/>
        </w:rPr>
        <w:t xml:space="preserve">. Wanneer een </w:t>
      </w:r>
      <w:r>
        <w:rPr>
          <w:lang w:eastAsia="nl-NL"/>
        </w:rPr>
        <w:t>gebruiker</w:t>
      </w:r>
      <w:r w:rsidR="00A77EF4">
        <w:rPr>
          <w:lang w:eastAsia="nl-NL"/>
        </w:rPr>
        <w:t xml:space="preserve"> bijvoorbeeld</w:t>
      </w:r>
      <w:r>
        <w:rPr>
          <w:lang w:eastAsia="nl-NL"/>
        </w:rPr>
        <w:t xml:space="preserve"> voor 6 afdelingen geautoriseerd dient te worden, zal deze gebruiker 6 regels in het aangeleverde bestand krijgen </w:t>
      </w:r>
      <w:r w:rsidR="00A77EF4">
        <w:rPr>
          <w:lang w:eastAsia="nl-NL"/>
        </w:rPr>
        <w:t>é</w:t>
      </w:r>
      <w:r>
        <w:rPr>
          <w:lang w:eastAsia="nl-NL"/>
        </w:rPr>
        <w:t>n dient het autorisatie</w:t>
      </w:r>
      <w:r w:rsidR="00A77EF4">
        <w:rPr>
          <w:lang w:eastAsia="nl-NL"/>
        </w:rPr>
        <w:t>-</w:t>
      </w:r>
      <w:r>
        <w:rPr>
          <w:lang w:eastAsia="nl-NL"/>
        </w:rPr>
        <w:t>element op ‘Afdeling’ worden gezet.</w:t>
      </w:r>
    </w:p>
    <w:p w14:paraId="752044A8" w14:textId="77777777" w:rsidR="00FE763F" w:rsidRDefault="00FE763F" w:rsidP="00FE763F">
      <w:pPr>
        <w:rPr>
          <w:lang w:eastAsia="nl-NL"/>
        </w:rPr>
      </w:pPr>
      <w:r>
        <w:rPr>
          <w:noProof/>
        </w:rPr>
        <w:drawing>
          <wp:inline distT="0" distB="0" distL="0" distR="0" wp14:anchorId="7DE3774D" wp14:editId="1A64B093">
            <wp:extent cx="4467225" cy="533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67225" cy="533400"/>
                    </a:xfrm>
                    <a:prstGeom prst="rect">
                      <a:avLst/>
                    </a:prstGeom>
                  </pic:spPr>
                </pic:pic>
              </a:graphicData>
            </a:graphic>
          </wp:inline>
        </w:drawing>
      </w:r>
    </w:p>
    <w:p w14:paraId="71F6D923" w14:textId="77777777" w:rsidR="00FE763F" w:rsidRDefault="00FE763F" w:rsidP="00FE763F">
      <w:pPr>
        <w:rPr>
          <w:lang w:eastAsia="nl-NL"/>
        </w:rPr>
      </w:pPr>
    </w:p>
    <w:p w14:paraId="25F51A83" w14:textId="15295225" w:rsidR="00FE763F" w:rsidRDefault="00FE763F" w:rsidP="00FE763F">
      <w:pPr>
        <w:rPr>
          <w:lang w:eastAsia="nl-NL"/>
        </w:rPr>
      </w:pPr>
      <w:r>
        <w:rPr>
          <w:lang w:eastAsia="nl-NL"/>
        </w:rPr>
        <w:t>Het is mogelijk om een e</w:t>
      </w:r>
      <w:r w:rsidR="00A77EF4">
        <w:rPr>
          <w:lang w:eastAsia="nl-NL"/>
        </w:rPr>
        <w:t>-</w:t>
      </w:r>
      <w:r>
        <w:rPr>
          <w:lang w:eastAsia="nl-NL"/>
        </w:rPr>
        <w:t>mailtemplate te koppelen aan dit importtemplate. Bij het veld ‘VerstuurUitnodigingsMailVariant’ kan dan de e</w:t>
      </w:r>
      <w:r w:rsidR="00A77EF4">
        <w:rPr>
          <w:lang w:eastAsia="nl-NL"/>
        </w:rPr>
        <w:t>-</w:t>
      </w:r>
      <w:r>
        <w:rPr>
          <w:lang w:eastAsia="nl-NL"/>
        </w:rPr>
        <w:t xml:space="preserve">mailtemplatecode worden ingevuld. Dit template wordt dan gebruikt als uitnodigingsmail voor een nieuwe gebruiker. </w:t>
      </w:r>
    </w:p>
    <w:p w14:paraId="70786231" w14:textId="0F39854A" w:rsidR="007D78CE" w:rsidRPr="007D78CE" w:rsidRDefault="00FE763F" w:rsidP="007D78CE">
      <w:pPr>
        <w:rPr>
          <w:lang w:eastAsia="nl-NL"/>
        </w:rPr>
      </w:pPr>
      <w:r>
        <w:rPr>
          <w:noProof/>
        </w:rPr>
        <w:drawing>
          <wp:inline distT="0" distB="0" distL="0" distR="0" wp14:anchorId="23D6A496" wp14:editId="7C74D645">
            <wp:extent cx="4200525" cy="876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00525" cy="876300"/>
                    </a:xfrm>
                    <a:prstGeom prst="rect">
                      <a:avLst/>
                    </a:prstGeom>
                  </pic:spPr>
                </pic:pic>
              </a:graphicData>
            </a:graphic>
          </wp:inline>
        </w:drawing>
      </w:r>
    </w:p>
    <w:sectPr w:rsidR="007D78CE" w:rsidRPr="007D78CE" w:rsidSect="00B5092B">
      <w:headerReference w:type="default" r:id="rId18"/>
      <w:footerReference w:type="default" r:id="rId19"/>
      <w:headerReference w:type="first" r:id="rId20"/>
      <w:footerReference w:type="first" r:id="rId21"/>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426B14CC"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3D389E">
            <w:rPr>
              <w:rStyle w:val="SubtleReference"/>
              <w:caps w:val="0"/>
              <w:noProof/>
              <w:color w:val="404040" w:themeColor="text1" w:themeTint="BF"/>
              <w:sz w:val="14"/>
              <w:szCs w:val="14"/>
              <w:lang w:val="en-US"/>
            </w:rPr>
            <w:t>Aankondiging Xpert Suite release Nicosia (fast)</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F6DCD"/>
    <w:multiLevelType w:val="hybridMultilevel"/>
    <w:tmpl w:val="E3502A60"/>
    <w:lvl w:ilvl="0" w:tplc="F8EABDFC">
      <w:start w:val="1"/>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C2070C"/>
    <w:multiLevelType w:val="hybridMultilevel"/>
    <w:tmpl w:val="FF782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CD4D8A"/>
    <w:multiLevelType w:val="hybridMultilevel"/>
    <w:tmpl w:val="C532B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417B36"/>
    <w:multiLevelType w:val="multilevel"/>
    <w:tmpl w:val="93966748"/>
    <w:numStyleLink w:val="Listorderd"/>
  </w:abstractNum>
  <w:abstractNum w:abstractNumId="11"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964EA1"/>
    <w:multiLevelType w:val="hybridMultilevel"/>
    <w:tmpl w:val="3D50A306"/>
    <w:lvl w:ilvl="0" w:tplc="92A8CFAE">
      <w:start w:val="10"/>
      <w:numFmt w:val="bullet"/>
      <w:lvlText w:val="-"/>
      <w:lvlJc w:val="left"/>
      <w:pPr>
        <w:ind w:left="720" w:hanging="360"/>
      </w:pPr>
      <w:rPr>
        <w:rFonts w:ascii="FuturaBT Light" w:eastAsiaTheme="minorHAnsi" w:hAnsi="FuturaBT Light"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9" w15:restartNumberingAfterBreak="0">
    <w:nsid w:val="32866EB9"/>
    <w:multiLevelType w:val="hybridMultilevel"/>
    <w:tmpl w:val="DEDE7784"/>
    <w:lvl w:ilvl="0" w:tplc="5E0A1F06">
      <w:numFmt w:val="bullet"/>
      <w:pStyle w:val="ListParagraph"/>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21"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3FDC0EF8"/>
    <w:multiLevelType w:val="hybridMultilevel"/>
    <w:tmpl w:val="CD9A4168"/>
    <w:lvl w:ilvl="0" w:tplc="C37ACE5E">
      <w:numFmt w:val="bullet"/>
      <w:lvlText w:val="•"/>
      <w:lvlJc w:val="left"/>
      <w:pPr>
        <w:ind w:left="1065" w:hanging="705"/>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7"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26"/>
  </w:num>
  <w:num w:numId="5">
    <w:abstractNumId w:val="1"/>
  </w:num>
  <w:num w:numId="6">
    <w:abstractNumId w:val="20"/>
  </w:num>
  <w:num w:numId="7">
    <w:abstractNumId w:val="0"/>
  </w:num>
  <w:num w:numId="8">
    <w:abstractNumId w:val="10"/>
  </w:num>
  <w:num w:numId="9">
    <w:abstractNumId w:val="31"/>
  </w:num>
  <w:num w:numId="10">
    <w:abstractNumId w:val="7"/>
  </w:num>
  <w:num w:numId="11">
    <w:abstractNumId w:val="36"/>
  </w:num>
  <w:num w:numId="12">
    <w:abstractNumId w:val="13"/>
  </w:num>
  <w:num w:numId="13">
    <w:abstractNumId w:val="22"/>
  </w:num>
  <w:num w:numId="14">
    <w:abstractNumId w:val="9"/>
  </w:num>
  <w:num w:numId="15">
    <w:abstractNumId w:val="33"/>
  </w:num>
  <w:num w:numId="16">
    <w:abstractNumId w:val="29"/>
  </w:num>
  <w:num w:numId="17">
    <w:abstractNumId w:val="14"/>
  </w:num>
  <w:num w:numId="18">
    <w:abstractNumId w:val="8"/>
  </w:num>
  <w:num w:numId="19">
    <w:abstractNumId w:val="37"/>
  </w:num>
  <w:num w:numId="20">
    <w:abstractNumId w:val="30"/>
  </w:num>
  <w:num w:numId="21">
    <w:abstractNumId w:val="16"/>
  </w:num>
  <w:num w:numId="22">
    <w:abstractNumId w:val="32"/>
  </w:num>
  <w:num w:numId="23">
    <w:abstractNumId w:val="11"/>
  </w:num>
  <w:num w:numId="24">
    <w:abstractNumId w:val="12"/>
  </w:num>
  <w:num w:numId="25">
    <w:abstractNumId w:val="3"/>
  </w:num>
  <w:num w:numId="26">
    <w:abstractNumId w:val="21"/>
  </w:num>
  <w:num w:numId="27">
    <w:abstractNumId w:val="28"/>
  </w:num>
  <w:num w:numId="28">
    <w:abstractNumId w:val="35"/>
  </w:num>
  <w:num w:numId="29">
    <w:abstractNumId w:val="24"/>
  </w:num>
  <w:num w:numId="30">
    <w:abstractNumId w:val="2"/>
  </w:num>
  <w:num w:numId="31">
    <w:abstractNumId w:val="27"/>
  </w:num>
  <w:num w:numId="32">
    <w:abstractNumId w:val="31"/>
  </w:num>
  <w:num w:numId="33">
    <w:abstractNumId w:val="32"/>
  </w:num>
  <w:num w:numId="34">
    <w:abstractNumId w:val="3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6"/>
  </w:num>
  <w:num w:numId="40">
    <w:abstractNumId w:val="19"/>
  </w:num>
  <w:num w:numId="41">
    <w:abstractNumId w:val="25"/>
  </w:num>
  <w:num w:numId="42">
    <w:abstractNumId w:val="4"/>
  </w:num>
  <w:num w:numId="4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78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4E3"/>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402"/>
    <w:rsid w:val="000B09B4"/>
    <w:rsid w:val="000B3D83"/>
    <w:rsid w:val="000B3FB7"/>
    <w:rsid w:val="000C1A67"/>
    <w:rsid w:val="000C1E6E"/>
    <w:rsid w:val="000C5EF5"/>
    <w:rsid w:val="000C6831"/>
    <w:rsid w:val="000C7AED"/>
    <w:rsid w:val="000D0D59"/>
    <w:rsid w:val="000D4C26"/>
    <w:rsid w:val="000D75C2"/>
    <w:rsid w:val="000E4F4D"/>
    <w:rsid w:val="000E550B"/>
    <w:rsid w:val="000E5E57"/>
    <w:rsid w:val="000E6978"/>
    <w:rsid w:val="000F1ECC"/>
    <w:rsid w:val="000F3287"/>
    <w:rsid w:val="000F3781"/>
    <w:rsid w:val="00100D4B"/>
    <w:rsid w:val="00104082"/>
    <w:rsid w:val="0010449D"/>
    <w:rsid w:val="0010743F"/>
    <w:rsid w:val="00116291"/>
    <w:rsid w:val="00116C47"/>
    <w:rsid w:val="00117B27"/>
    <w:rsid w:val="0012402A"/>
    <w:rsid w:val="00127461"/>
    <w:rsid w:val="001301D2"/>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8561E"/>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1CF2"/>
    <w:rsid w:val="00206C19"/>
    <w:rsid w:val="00211B93"/>
    <w:rsid w:val="00215C3B"/>
    <w:rsid w:val="00222D65"/>
    <w:rsid w:val="002265F5"/>
    <w:rsid w:val="0023700B"/>
    <w:rsid w:val="00242415"/>
    <w:rsid w:val="0024385C"/>
    <w:rsid w:val="00245F2E"/>
    <w:rsid w:val="0024663E"/>
    <w:rsid w:val="00255608"/>
    <w:rsid w:val="002561F1"/>
    <w:rsid w:val="002573AC"/>
    <w:rsid w:val="00260A46"/>
    <w:rsid w:val="002623FC"/>
    <w:rsid w:val="00264708"/>
    <w:rsid w:val="002735B5"/>
    <w:rsid w:val="002739E4"/>
    <w:rsid w:val="002746E4"/>
    <w:rsid w:val="00274E35"/>
    <w:rsid w:val="00275A26"/>
    <w:rsid w:val="00275B4A"/>
    <w:rsid w:val="00275E3A"/>
    <w:rsid w:val="0027795B"/>
    <w:rsid w:val="002838AF"/>
    <w:rsid w:val="00286901"/>
    <w:rsid w:val="00293B58"/>
    <w:rsid w:val="002A25AE"/>
    <w:rsid w:val="002A6091"/>
    <w:rsid w:val="002B0963"/>
    <w:rsid w:val="002B5FCA"/>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26B8B"/>
    <w:rsid w:val="00332EA2"/>
    <w:rsid w:val="003332A4"/>
    <w:rsid w:val="00342896"/>
    <w:rsid w:val="00342A72"/>
    <w:rsid w:val="00343851"/>
    <w:rsid w:val="00344987"/>
    <w:rsid w:val="00346D4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89E"/>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2D8B"/>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A7899"/>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47D"/>
    <w:rsid w:val="00565880"/>
    <w:rsid w:val="00572CB6"/>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52888"/>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7FC8"/>
    <w:rsid w:val="00782D5E"/>
    <w:rsid w:val="00784ECB"/>
    <w:rsid w:val="00792DF5"/>
    <w:rsid w:val="00793502"/>
    <w:rsid w:val="00795A0B"/>
    <w:rsid w:val="007A67CA"/>
    <w:rsid w:val="007A683A"/>
    <w:rsid w:val="007A7EEA"/>
    <w:rsid w:val="007B6279"/>
    <w:rsid w:val="007C1552"/>
    <w:rsid w:val="007C3BB9"/>
    <w:rsid w:val="007C5211"/>
    <w:rsid w:val="007C63A4"/>
    <w:rsid w:val="007D321C"/>
    <w:rsid w:val="007D78CE"/>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ADC"/>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3DDD"/>
    <w:rsid w:val="008747EB"/>
    <w:rsid w:val="0087684D"/>
    <w:rsid w:val="008774D7"/>
    <w:rsid w:val="00877804"/>
    <w:rsid w:val="00877EF2"/>
    <w:rsid w:val="00881370"/>
    <w:rsid w:val="00892CE0"/>
    <w:rsid w:val="00895C14"/>
    <w:rsid w:val="00896630"/>
    <w:rsid w:val="008A0AB1"/>
    <w:rsid w:val="008A252E"/>
    <w:rsid w:val="008A2A76"/>
    <w:rsid w:val="008A4DAF"/>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E458D"/>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2AEE"/>
    <w:rsid w:val="009931C5"/>
    <w:rsid w:val="009B6EF3"/>
    <w:rsid w:val="009B717E"/>
    <w:rsid w:val="009B7362"/>
    <w:rsid w:val="009C1737"/>
    <w:rsid w:val="009C78F2"/>
    <w:rsid w:val="009D173C"/>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77EF4"/>
    <w:rsid w:val="00A80873"/>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32E"/>
    <w:rsid w:val="00B25DB2"/>
    <w:rsid w:val="00B262E9"/>
    <w:rsid w:val="00B321C1"/>
    <w:rsid w:val="00B34E0E"/>
    <w:rsid w:val="00B41BF2"/>
    <w:rsid w:val="00B46174"/>
    <w:rsid w:val="00B5092B"/>
    <w:rsid w:val="00B5699B"/>
    <w:rsid w:val="00B619E2"/>
    <w:rsid w:val="00B629F5"/>
    <w:rsid w:val="00B63494"/>
    <w:rsid w:val="00B64000"/>
    <w:rsid w:val="00B65567"/>
    <w:rsid w:val="00B7579C"/>
    <w:rsid w:val="00B8125A"/>
    <w:rsid w:val="00B85269"/>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6280A"/>
    <w:rsid w:val="00C641B1"/>
    <w:rsid w:val="00C65395"/>
    <w:rsid w:val="00C7299E"/>
    <w:rsid w:val="00C73FF7"/>
    <w:rsid w:val="00C74342"/>
    <w:rsid w:val="00C74530"/>
    <w:rsid w:val="00C81A34"/>
    <w:rsid w:val="00C8425B"/>
    <w:rsid w:val="00C867C0"/>
    <w:rsid w:val="00C959A4"/>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140B"/>
    <w:rsid w:val="00D572DF"/>
    <w:rsid w:val="00D76271"/>
    <w:rsid w:val="00D77CE6"/>
    <w:rsid w:val="00D85B36"/>
    <w:rsid w:val="00D94635"/>
    <w:rsid w:val="00D9532E"/>
    <w:rsid w:val="00DA451E"/>
    <w:rsid w:val="00DB44E6"/>
    <w:rsid w:val="00DC7610"/>
    <w:rsid w:val="00DC799B"/>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380A"/>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3576"/>
    <w:rsid w:val="00EF4AC9"/>
    <w:rsid w:val="00F0053C"/>
    <w:rsid w:val="00F00C28"/>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B7788"/>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E763F"/>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8529"/>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0E6978"/>
    <w:pPr>
      <w:numPr>
        <w:numId w:val="40"/>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0E6978"/>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 w:type="paragraph" w:styleId="NoSpacing">
    <w:name w:val="No Spacing"/>
    <w:uiPriority w:val="1"/>
    <w:qFormat/>
    <w:rsid w:val="00B2532E"/>
    <w:pPr>
      <w:spacing w:after="0" w:line="240" w:lineRule="auto"/>
    </w:pPr>
    <w:rPr>
      <w:rFonts w:asciiTheme="minorHAnsi" w:hAnsiTheme="minorHAnsi" w:cstheme="minorBidi"/>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52376658">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10516F"/>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3494</Words>
  <Characters>19221</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3</cp:revision>
  <cp:lastPrinted>2022-04-07T14:23:00Z</cp:lastPrinted>
  <dcterms:created xsi:type="dcterms:W3CDTF">2022-04-07T14:22:00Z</dcterms:created>
  <dcterms:modified xsi:type="dcterms:W3CDTF">2022-04-07T16:12:00Z</dcterms:modified>
</cp:coreProperties>
</file>