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le"/>
        <w:pBdr>
          <w:top w:val="single" w:sz="24" w:space="1" w:color="FFD700"/>
        </w:pBdr>
        <w:rPr>
          <w:sz w:val="16"/>
          <w:szCs w:val="16"/>
        </w:rPr>
      </w:pPr>
    </w:p>
    <w:p w14:paraId="7F1E1B30" w14:textId="7E34A47E" w:rsidR="006D42E6" w:rsidRP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B</w:t>
      </w:r>
      <w:r>
        <w:rPr>
          <w:rFonts w:eastAsiaTheme="majorEastAsia" w:cstheme="majorBidi"/>
          <w:color w:val="auto"/>
          <w:spacing w:val="-10"/>
          <w:kern w:val="28"/>
          <w:sz w:val="56"/>
          <w:szCs w:val="56"/>
        </w:rPr>
        <w:t>eschrijving release</w:t>
      </w:r>
      <w:r w:rsidR="00A23B17">
        <w:rPr>
          <w:rFonts w:eastAsiaTheme="majorEastAsia" w:cstheme="majorBidi"/>
          <w:color w:val="auto"/>
          <w:spacing w:val="-10"/>
          <w:kern w:val="28"/>
          <w:sz w:val="56"/>
          <w:szCs w:val="56"/>
        </w:rPr>
        <w:t xml:space="preserve"> ‘</w:t>
      </w:r>
      <w:r w:rsidR="00DB6593">
        <w:rPr>
          <w:rFonts w:eastAsiaTheme="majorEastAsia" w:cstheme="majorBidi"/>
          <w:color w:val="auto"/>
          <w:spacing w:val="-10"/>
          <w:kern w:val="28"/>
          <w:sz w:val="56"/>
          <w:szCs w:val="56"/>
        </w:rPr>
        <w:t>Berlin</w:t>
      </w:r>
      <w:r w:rsidR="00637CFE">
        <w:rPr>
          <w:rFonts w:eastAsiaTheme="majorEastAsia" w:cstheme="majorBidi"/>
          <w:color w:val="auto"/>
          <w:spacing w:val="-10"/>
          <w:kern w:val="28"/>
          <w:sz w:val="56"/>
          <w:szCs w:val="56"/>
        </w:rPr>
        <w:t>’</w:t>
      </w:r>
    </w:p>
    <w:p w14:paraId="09DFD25F" w14:textId="0464D3FB" w:rsid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X</w:t>
      </w:r>
      <w:r>
        <w:rPr>
          <w:rFonts w:eastAsiaTheme="majorEastAsia" w:cstheme="majorBidi"/>
          <w:color w:val="auto"/>
          <w:spacing w:val="-10"/>
          <w:kern w:val="28"/>
          <w:sz w:val="56"/>
          <w:szCs w:val="56"/>
        </w:rPr>
        <w:t>pert</w:t>
      </w:r>
      <w:r w:rsidRPr="006D42E6">
        <w:rPr>
          <w:rFonts w:eastAsiaTheme="majorEastAsia" w:cstheme="majorBidi"/>
          <w:color w:val="auto"/>
          <w:spacing w:val="-10"/>
          <w:kern w:val="28"/>
          <w:sz w:val="56"/>
          <w:szCs w:val="56"/>
        </w:rPr>
        <w:t xml:space="preserve"> S</w:t>
      </w:r>
      <w:r>
        <w:rPr>
          <w:rFonts w:eastAsiaTheme="majorEastAsia" w:cstheme="majorBidi"/>
          <w:color w:val="auto"/>
          <w:spacing w:val="-10"/>
          <w:kern w:val="28"/>
          <w:sz w:val="56"/>
          <w:szCs w:val="56"/>
        </w:rPr>
        <w:t>uite</w:t>
      </w:r>
      <w:r w:rsidRPr="006D42E6">
        <w:rPr>
          <w:rFonts w:eastAsiaTheme="majorEastAsia" w:cstheme="majorBidi"/>
          <w:color w:val="auto"/>
          <w:spacing w:val="-10"/>
          <w:kern w:val="28"/>
          <w:sz w:val="56"/>
          <w:szCs w:val="56"/>
        </w:rPr>
        <w:t xml:space="preserve"> </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250"/>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1A5B7717" w:rsidR="00EC4B83" w:rsidRPr="004F33C8" w:rsidRDefault="0089145A" w:rsidP="00EC4B83">
            <w:r>
              <w:t>23 juni 2021</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1D5ACB9D480C45628E713CFF7492931D"/>
            </w:placeholder>
            <w:dropDownList>
              <w:listItem w:displayText="Maak een keuze" w:value=""/>
              <w:listItem w:displayText="Openbaar" w:value="Openbaar"/>
              <w:listItem w:displayText="Gevoelig" w:value="Gevoelig"/>
              <w:listItem w:displayText="Vertrouwelijk" w:value="Vertrouwelijk"/>
              <w:listItem w:displayText="Strik vertouwelijk" w:value="Strik vertouwelijk"/>
            </w:dropDownList>
          </w:sdtPr>
          <w:sdtEnd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70D8064B" w14:textId="4B7AE66F" w:rsidR="0089145A" w:rsidRDefault="005B6063">
      <w:pPr>
        <w:pStyle w:val="TOC1"/>
        <w:rPr>
          <w:rFonts w:asciiTheme="minorHAnsi" w:eastAsiaTheme="minorEastAsia" w:hAnsiTheme="minorHAnsi" w:cstheme="minorBidi"/>
          <w:bCs w:val="0"/>
          <w:i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75276165" w:history="1">
        <w:r w:rsidR="0089145A" w:rsidRPr="005313AA">
          <w:rPr>
            <w:rStyle w:val="Hyperlink"/>
          </w:rPr>
          <w:t>1</w:t>
        </w:r>
        <w:r w:rsidR="0089145A">
          <w:rPr>
            <w:rFonts w:asciiTheme="minorHAnsi" w:eastAsiaTheme="minorEastAsia" w:hAnsiTheme="minorHAnsi" w:cstheme="minorBidi"/>
            <w:bCs w:val="0"/>
            <w:iCs w:val="0"/>
            <w:caps w:val="0"/>
            <w:sz w:val="22"/>
            <w:szCs w:val="22"/>
            <w:lang w:eastAsia="nl-NL"/>
          </w:rPr>
          <w:tab/>
        </w:r>
        <w:r w:rsidR="0089145A" w:rsidRPr="005313AA">
          <w:rPr>
            <w:rStyle w:val="Hyperlink"/>
          </w:rPr>
          <w:t>Algemeen</w:t>
        </w:r>
        <w:r w:rsidR="0089145A">
          <w:rPr>
            <w:webHidden/>
          </w:rPr>
          <w:tab/>
        </w:r>
        <w:r w:rsidR="0089145A">
          <w:rPr>
            <w:webHidden/>
          </w:rPr>
          <w:fldChar w:fldCharType="begin"/>
        </w:r>
        <w:r w:rsidR="0089145A">
          <w:rPr>
            <w:webHidden/>
          </w:rPr>
          <w:instrText xml:space="preserve"> PAGEREF _Toc75276165 \h </w:instrText>
        </w:r>
        <w:r w:rsidR="0089145A">
          <w:rPr>
            <w:webHidden/>
          </w:rPr>
        </w:r>
        <w:r w:rsidR="0089145A">
          <w:rPr>
            <w:webHidden/>
          </w:rPr>
          <w:fldChar w:fldCharType="separate"/>
        </w:r>
        <w:r w:rsidR="00346C5B">
          <w:rPr>
            <w:webHidden/>
          </w:rPr>
          <w:t>3</w:t>
        </w:r>
        <w:r w:rsidR="0089145A">
          <w:rPr>
            <w:webHidden/>
          </w:rPr>
          <w:fldChar w:fldCharType="end"/>
        </w:r>
      </w:hyperlink>
    </w:p>
    <w:p w14:paraId="2A765C2A" w14:textId="6B188B05" w:rsidR="0089145A" w:rsidRDefault="00D44DA4">
      <w:pPr>
        <w:pStyle w:val="TOC1"/>
        <w:rPr>
          <w:rFonts w:asciiTheme="minorHAnsi" w:eastAsiaTheme="minorEastAsia" w:hAnsiTheme="minorHAnsi" w:cstheme="minorBidi"/>
          <w:bCs w:val="0"/>
          <w:iCs w:val="0"/>
          <w:caps w:val="0"/>
          <w:sz w:val="22"/>
          <w:szCs w:val="22"/>
          <w:lang w:eastAsia="nl-NL"/>
        </w:rPr>
      </w:pPr>
      <w:hyperlink w:anchor="_Toc75276166" w:history="1">
        <w:r w:rsidR="0089145A" w:rsidRPr="005313AA">
          <w:rPr>
            <w:rStyle w:val="Hyperlink"/>
          </w:rPr>
          <w:t>2</w:t>
        </w:r>
        <w:r w:rsidR="0089145A">
          <w:rPr>
            <w:rFonts w:asciiTheme="minorHAnsi" w:eastAsiaTheme="minorEastAsia" w:hAnsiTheme="minorHAnsi" w:cstheme="minorBidi"/>
            <w:bCs w:val="0"/>
            <w:iCs w:val="0"/>
            <w:caps w:val="0"/>
            <w:sz w:val="22"/>
            <w:szCs w:val="22"/>
            <w:lang w:eastAsia="nl-NL"/>
          </w:rPr>
          <w:tab/>
        </w:r>
        <w:r w:rsidR="0089145A" w:rsidRPr="005313AA">
          <w:rPr>
            <w:rStyle w:val="Hyperlink"/>
          </w:rPr>
          <w:t>Basis Xpert Suite</w:t>
        </w:r>
        <w:r w:rsidR="0089145A">
          <w:rPr>
            <w:webHidden/>
          </w:rPr>
          <w:tab/>
        </w:r>
        <w:r w:rsidR="0089145A">
          <w:rPr>
            <w:webHidden/>
          </w:rPr>
          <w:fldChar w:fldCharType="begin"/>
        </w:r>
        <w:r w:rsidR="0089145A">
          <w:rPr>
            <w:webHidden/>
          </w:rPr>
          <w:instrText xml:space="preserve"> PAGEREF _Toc75276166 \h </w:instrText>
        </w:r>
        <w:r w:rsidR="0089145A">
          <w:rPr>
            <w:webHidden/>
          </w:rPr>
        </w:r>
        <w:r w:rsidR="0089145A">
          <w:rPr>
            <w:webHidden/>
          </w:rPr>
          <w:fldChar w:fldCharType="separate"/>
        </w:r>
        <w:r w:rsidR="00346C5B">
          <w:rPr>
            <w:webHidden/>
          </w:rPr>
          <w:t>3</w:t>
        </w:r>
        <w:r w:rsidR="0089145A">
          <w:rPr>
            <w:webHidden/>
          </w:rPr>
          <w:fldChar w:fldCharType="end"/>
        </w:r>
      </w:hyperlink>
    </w:p>
    <w:p w14:paraId="19BA86E9" w14:textId="31B08179" w:rsidR="0089145A" w:rsidRDefault="00D44DA4">
      <w:pPr>
        <w:pStyle w:val="TOC2"/>
        <w:rPr>
          <w:rFonts w:asciiTheme="minorHAnsi" w:eastAsiaTheme="minorEastAsia" w:hAnsiTheme="minorHAnsi" w:cstheme="minorBidi"/>
          <w:noProof/>
          <w:sz w:val="22"/>
          <w:szCs w:val="22"/>
          <w:lang w:eastAsia="nl-NL"/>
        </w:rPr>
      </w:pPr>
      <w:hyperlink w:anchor="_Toc75276167" w:history="1">
        <w:r w:rsidR="0089145A" w:rsidRPr="005313AA">
          <w:rPr>
            <w:rStyle w:val="Hyperlink"/>
            <w:noProof/>
            <w14:scene3d>
              <w14:camera w14:prst="orthographicFront"/>
              <w14:lightRig w14:rig="threePt" w14:dir="t">
                <w14:rot w14:lat="0" w14:lon="0" w14:rev="0"/>
              </w14:lightRig>
            </w14:scene3d>
          </w:rPr>
          <w:t>2.1</w:t>
        </w:r>
        <w:r w:rsidR="0089145A">
          <w:rPr>
            <w:rFonts w:asciiTheme="minorHAnsi" w:eastAsiaTheme="minorEastAsia" w:hAnsiTheme="minorHAnsi" w:cstheme="minorBidi"/>
            <w:noProof/>
            <w:sz w:val="22"/>
            <w:szCs w:val="22"/>
            <w:lang w:eastAsia="nl-NL"/>
          </w:rPr>
          <w:tab/>
        </w:r>
        <w:r w:rsidR="0089145A" w:rsidRPr="005313AA">
          <w:rPr>
            <w:rStyle w:val="Hyperlink"/>
            <w:noProof/>
          </w:rPr>
          <w:t>XS Gebruiker</w:t>
        </w:r>
        <w:r w:rsidR="0089145A">
          <w:rPr>
            <w:noProof/>
            <w:webHidden/>
          </w:rPr>
          <w:tab/>
        </w:r>
        <w:r w:rsidR="0089145A">
          <w:rPr>
            <w:noProof/>
            <w:webHidden/>
          </w:rPr>
          <w:fldChar w:fldCharType="begin"/>
        </w:r>
        <w:r w:rsidR="0089145A">
          <w:rPr>
            <w:noProof/>
            <w:webHidden/>
          </w:rPr>
          <w:instrText xml:space="preserve"> PAGEREF _Toc75276167 \h </w:instrText>
        </w:r>
        <w:r w:rsidR="0089145A">
          <w:rPr>
            <w:noProof/>
            <w:webHidden/>
          </w:rPr>
        </w:r>
        <w:r w:rsidR="0089145A">
          <w:rPr>
            <w:noProof/>
            <w:webHidden/>
          </w:rPr>
          <w:fldChar w:fldCharType="separate"/>
        </w:r>
        <w:r w:rsidR="00346C5B">
          <w:rPr>
            <w:noProof/>
            <w:webHidden/>
          </w:rPr>
          <w:t>3</w:t>
        </w:r>
        <w:r w:rsidR="0089145A">
          <w:rPr>
            <w:noProof/>
            <w:webHidden/>
          </w:rPr>
          <w:fldChar w:fldCharType="end"/>
        </w:r>
      </w:hyperlink>
    </w:p>
    <w:p w14:paraId="23D64F58" w14:textId="16A06813" w:rsidR="0089145A" w:rsidRDefault="00D44DA4">
      <w:pPr>
        <w:pStyle w:val="TOC3"/>
        <w:tabs>
          <w:tab w:val="left" w:pos="2459"/>
        </w:tabs>
        <w:rPr>
          <w:rFonts w:asciiTheme="minorHAnsi" w:eastAsiaTheme="minorEastAsia" w:hAnsiTheme="minorHAnsi" w:cstheme="minorBidi"/>
          <w:iCs w:val="0"/>
          <w:sz w:val="22"/>
          <w:szCs w:val="22"/>
          <w:lang w:eastAsia="nl-NL"/>
        </w:rPr>
      </w:pPr>
      <w:hyperlink w:anchor="_Toc75276168" w:history="1">
        <w:r w:rsidR="0089145A" w:rsidRPr="005313AA">
          <w:rPr>
            <w:rStyle w:val="Hyperlink"/>
          </w:rPr>
          <w:t>2.1.1</w:t>
        </w:r>
        <w:r w:rsidR="0089145A">
          <w:rPr>
            <w:rFonts w:asciiTheme="minorHAnsi" w:eastAsiaTheme="minorEastAsia" w:hAnsiTheme="minorHAnsi" w:cstheme="minorBidi"/>
            <w:iCs w:val="0"/>
            <w:sz w:val="22"/>
            <w:szCs w:val="22"/>
            <w:lang w:eastAsia="nl-NL"/>
          </w:rPr>
          <w:tab/>
        </w:r>
        <w:r w:rsidR="0089145A" w:rsidRPr="005313AA">
          <w:rPr>
            <w:rStyle w:val="Hyperlink"/>
          </w:rPr>
          <w:t>Actielinks voor dienstverband wijzigen en uit dienst melden</w:t>
        </w:r>
        <w:r w:rsidR="0089145A">
          <w:rPr>
            <w:webHidden/>
          </w:rPr>
          <w:tab/>
        </w:r>
        <w:r w:rsidR="0089145A">
          <w:rPr>
            <w:webHidden/>
          </w:rPr>
          <w:fldChar w:fldCharType="begin"/>
        </w:r>
        <w:r w:rsidR="0089145A">
          <w:rPr>
            <w:webHidden/>
          </w:rPr>
          <w:instrText xml:space="preserve"> PAGEREF _Toc75276168 \h </w:instrText>
        </w:r>
        <w:r w:rsidR="0089145A">
          <w:rPr>
            <w:webHidden/>
          </w:rPr>
        </w:r>
        <w:r w:rsidR="0089145A">
          <w:rPr>
            <w:webHidden/>
          </w:rPr>
          <w:fldChar w:fldCharType="separate"/>
        </w:r>
        <w:r w:rsidR="00346C5B">
          <w:rPr>
            <w:webHidden/>
          </w:rPr>
          <w:t>3</w:t>
        </w:r>
        <w:r w:rsidR="0089145A">
          <w:rPr>
            <w:webHidden/>
          </w:rPr>
          <w:fldChar w:fldCharType="end"/>
        </w:r>
      </w:hyperlink>
    </w:p>
    <w:p w14:paraId="6FAEAD5F" w14:textId="3D280025" w:rsidR="0089145A" w:rsidRDefault="00D44DA4">
      <w:pPr>
        <w:pStyle w:val="TOC3"/>
        <w:tabs>
          <w:tab w:val="left" w:pos="2459"/>
        </w:tabs>
        <w:rPr>
          <w:rFonts w:asciiTheme="minorHAnsi" w:eastAsiaTheme="minorEastAsia" w:hAnsiTheme="minorHAnsi" w:cstheme="minorBidi"/>
          <w:iCs w:val="0"/>
          <w:sz w:val="22"/>
          <w:szCs w:val="22"/>
          <w:lang w:eastAsia="nl-NL"/>
        </w:rPr>
      </w:pPr>
      <w:hyperlink w:anchor="_Toc75276169" w:history="1">
        <w:r w:rsidR="0089145A" w:rsidRPr="005313AA">
          <w:rPr>
            <w:rStyle w:val="Hyperlink"/>
          </w:rPr>
          <w:t>2.1.2</w:t>
        </w:r>
        <w:r w:rsidR="0089145A">
          <w:rPr>
            <w:rFonts w:asciiTheme="minorHAnsi" w:eastAsiaTheme="minorEastAsia" w:hAnsiTheme="minorHAnsi" w:cstheme="minorBidi"/>
            <w:iCs w:val="0"/>
            <w:sz w:val="22"/>
            <w:szCs w:val="22"/>
            <w:lang w:eastAsia="nl-NL"/>
          </w:rPr>
          <w:tab/>
        </w:r>
        <w:r w:rsidR="0089145A" w:rsidRPr="005313AA">
          <w:rPr>
            <w:rStyle w:val="Hyperlink"/>
          </w:rPr>
          <w:t>Uitgebreid zoeken op afdeling</w:t>
        </w:r>
        <w:r w:rsidR="0089145A">
          <w:rPr>
            <w:webHidden/>
          </w:rPr>
          <w:tab/>
        </w:r>
        <w:r w:rsidR="0089145A">
          <w:rPr>
            <w:webHidden/>
          </w:rPr>
          <w:fldChar w:fldCharType="begin"/>
        </w:r>
        <w:r w:rsidR="0089145A">
          <w:rPr>
            <w:webHidden/>
          </w:rPr>
          <w:instrText xml:space="preserve"> PAGEREF _Toc75276169 \h </w:instrText>
        </w:r>
        <w:r w:rsidR="0089145A">
          <w:rPr>
            <w:webHidden/>
          </w:rPr>
        </w:r>
        <w:r w:rsidR="0089145A">
          <w:rPr>
            <w:webHidden/>
          </w:rPr>
          <w:fldChar w:fldCharType="separate"/>
        </w:r>
        <w:r w:rsidR="00346C5B">
          <w:rPr>
            <w:webHidden/>
          </w:rPr>
          <w:t>4</w:t>
        </w:r>
        <w:r w:rsidR="0089145A">
          <w:rPr>
            <w:webHidden/>
          </w:rPr>
          <w:fldChar w:fldCharType="end"/>
        </w:r>
      </w:hyperlink>
    </w:p>
    <w:p w14:paraId="1B3DFD84" w14:textId="2A8A0BE7" w:rsidR="0089145A" w:rsidRDefault="00D44DA4">
      <w:pPr>
        <w:pStyle w:val="TOC3"/>
        <w:tabs>
          <w:tab w:val="left" w:pos="2459"/>
        </w:tabs>
        <w:rPr>
          <w:rFonts w:asciiTheme="minorHAnsi" w:eastAsiaTheme="minorEastAsia" w:hAnsiTheme="minorHAnsi" w:cstheme="minorBidi"/>
          <w:iCs w:val="0"/>
          <w:sz w:val="22"/>
          <w:szCs w:val="22"/>
          <w:lang w:eastAsia="nl-NL"/>
        </w:rPr>
      </w:pPr>
      <w:hyperlink w:anchor="_Toc75276170" w:history="1">
        <w:r w:rsidR="0089145A" w:rsidRPr="005313AA">
          <w:rPr>
            <w:rStyle w:val="Hyperlink"/>
          </w:rPr>
          <w:t>2.1.3</w:t>
        </w:r>
        <w:r w:rsidR="0089145A">
          <w:rPr>
            <w:rFonts w:asciiTheme="minorHAnsi" w:eastAsiaTheme="minorEastAsia" w:hAnsiTheme="minorHAnsi" w:cstheme="minorBidi"/>
            <w:iCs w:val="0"/>
            <w:sz w:val="22"/>
            <w:szCs w:val="22"/>
            <w:lang w:eastAsia="nl-NL"/>
          </w:rPr>
          <w:tab/>
        </w:r>
        <w:r w:rsidR="0089145A" w:rsidRPr="005313AA">
          <w:rPr>
            <w:rStyle w:val="Hyperlink"/>
          </w:rPr>
          <w:t>Zoeken binnen vestigingen</w:t>
        </w:r>
        <w:r w:rsidR="0089145A">
          <w:rPr>
            <w:webHidden/>
          </w:rPr>
          <w:tab/>
        </w:r>
        <w:r w:rsidR="0089145A">
          <w:rPr>
            <w:webHidden/>
          </w:rPr>
          <w:fldChar w:fldCharType="begin"/>
        </w:r>
        <w:r w:rsidR="0089145A">
          <w:rPr>
            <w:webHidden/>
          </w:rPr>
          <w:instrText xml:space="preserve"> PAGEREF _Toc75276170 \h </w:instrText>
        </w:r>
        <w:r w:rsidR="0089145A">
          <w:rPr>
            <w:webHidden/>
          </w:rPr>
        </w:r>
        <w:r w:rsidR="0089145A">
          <w:rPr>
            <w:webHidden/>
          </w:rPr>
          <w:fldChar w:fldCharType="separate"/>
        </w:r>
        <w:r w:rsidR="00346C5B">
          <w:rPr>
            <w:webHidden/>
          </w:rPr>
          <w:t>5</w:t>
        </w:r>
        <w:r w:rsidR="0089145A">
          <w:rPr>
            <w:webHidden/>
          </w:rPr>
          <w:fldChar w:fldCharType="end"/>
        </w:r>
      </w:hyperlink>
    </w:p>
    <w:p w14:paraId="343368ED" w14:textId="47B2C7A1" w:rsidR="0089145A" w:rsidRDefault="00D44DA4">
      <w:pPr>
        <w:pStyle w:val="TOC2"/>
        <w:rPr>
          <w:rFonts w:asciiTheme="minorHAnsi" w:eastAsiaTheme="minorEastAsia" w:hAnsiTheme="minorHAnsi" w:cstheme="minorBidi"/>
          <w:noProof/>
          <w:sz w:val="22"/>
          <w:szCs w:val="22"/>
          <w:lang w:eastAsia="nl-NL"/>
        </w:rPr>
      </w:pPr>
      <w:hyperlink w:anchor="_Toc75276171" w:history="1">
        <w:r w:rsidR="0089145A" w:rsidRPr="005313AA">
          <w:rPr>
            <w:rStyle w:val="Hyperlink"/>
            <w:noProof/>
            <w14:scene3d>
              <w14:camera w14:prst="orthographicFront"/>
              <w14:lightRig w14:rig="threePt" w14:dir="t">
                <w14:rot w14:lat="0" w14:lon="0" w14:rev="0"/>
              </w14:lightRig>
            </w14:scene3d>
          </w:rPr>
          <w:t>2.2</w:t>
        </w:r>
        <w:r w:rsidR="0089145A">
          <w:rPr>
            <w:rFonts w:asciiTheme="minorHAnsi" w:eastAsiaTheme="minorEastAsia" w:hAnsiTheme="minorHAnsi" w:cstheme="minorBidi"/>
            <w:noProof/>
            <w:sz w:val="22"/>
            <w:szCs w:val="22"/>
            <w:lang w:eastAsia="nl-NL"/>
          </w:rPr>
          <w:tab/>
        </w:r>
        <w:r w:rsidR="0089145A" w:rsidRPr="005313AA">
          <w:rPr>
            <w:rStyle w:val="Hyperlink"/>
            <w:noProof/>
          </w:rPr>
          <w:t>Rapportages</w:t>
        </w:r>
        <w:r w:rsidR="0089145A">
          <w:rPr>
            <w:noProof/>
            <w:webHidden/>
          </w:rPr>
          <w:tab/>
        </w:r>
        <w:r w:rsidR="0089145A">
          <w:rPr>
            <w:noProof/>
            <w:webHidden/>
          </w:rPr>
          <w:fldChar w:fldCharType="begin"/>
        </w:r>
        <w:r w:rsidR="0089145A">
          <w:rPr>
            <w:noProof/>
            <w:webHidden/>
          </w:rPr>
          <w:instrText xml:space="preserve"> PAGEREF _Toc75276171 \h </w:instrText>
        </w:r>
        <w:r w:rsidR="0089145A">
          <w:rPr>
            <w:noProof/>
            <w:webHidden/>
          </w:rPr>
        </w:r>
        <w:r w:rsidR="0089145A">
          <w:rPr>
            <w:noProof/>
            <w:webHidden/>
          </w:rPr>
          <w:fldChar w:fldCharType="separate"/>
        </w:r>
        <w:r w:rsidR="00346C5B">
          <w:rPr>
            <w:noProof/>
            <w:webHidden/>
          </w:rPr>
          <w:t>5</w:t>
        </w:r>
        <w:r w:rsidR="0089145A">
          <w:rPr>
            <w:noProof/>
            <w:webHidden/>
          </w:rPr>
          <w:fldChar w:fldCharType="end"/>
        </w:r>
      </w:hyperlink>
    </w:p>
    <w:p w14:paraId="334D19E0" w14:textId="4A91970D" w:rsidR="0089145A" w:rsidRDefault="00D44DA4">
      <w:pPr>
        <w:pStyle w:val="TOC3"/>
        <w:tabs>
          <w:tab w:val="left" w:pos="2459"/>
        </w:tabs>
        <w:rPr>
          <w:rFonts w:asciiTheme="minorHAnsi" w:eastAsiaTheme="minorEastAsia" w:hAnsiTheme="minorHAnsi" w:cstheme="minorBidi"/>
          <w:iCs w:val="0"/>
          <w:sz w:val="22"/>
          <w:szCs w:val="22"/>
          <w:lang w:eastAsia="nl-NL"/>
        </w:rPr>
      </w:pPr>
      <w:hyperlink w:anchor="_Toc75276172" w:history="1">
        <w:r w:rsidR="0089145A" w:rsidRPr="005313AA">
          <w:rPr>
            <w:rStyle w:val="Hyperlink"/>
          </w:rPr>
          <w:t>2.2.1</w:t>
        </w:r>
        <w:r w:rsidR="0089145A">
          <w:rPr>
            <w:rFonts w:asciiTheme="minorHAnsi" w:eastAsiaTheme="minorEastAsia" w:hAnsiTheme="minorHAnsi" w:cstheme="minorBidi"/>
            <w:iCs w:val="0"/>
            <w:sz w:val="22"/>
            <w:szCs w:val="22"/>
            <w:lang w:eastAsia="nl-NL"/>
          </w:rPr>
          <w:tab/>
        </w:r>
        <w:r w:rsidR="0089145A" w:rsidRPr="005313AA">
          <w:rPr>
            <w:rStyle w:val="Hyperlink"/>
          </w:rPr>
          <w:t>‘Structuurcode’ toegevoegd aan rapportage Verzuim_per_org.eenheid_incl_verzuimduurcategorieën</w:t>
        </w:r>
        <w:r w:rsidR="0089145A">
          <w:rPr>
            <w:webHidden/>
          </w:rPr>
          <w:tab/>
        </w:r>
        <w:r w:rsidR="0089145A">
          <w:rPr>
            <w:webHidden/>
          </w:rPr>
          <w:fldChar w:fldCharType="begin"/>
        </w:r>
        <w:r w:rsidR="0089145A">
          <w:rPr>
            <w:webHidden/>
          </w:rPr>
          <w:instrText xml:space="preserve"> PAGEREF _Toc75276172 \h </w:instrText>
        </w:r>
        <w:r w:rsidR="0089145A">
          <w:rPr>
            <w:webHidden/>
          </w:rPr>
        </w:r>
        <w:r w:rsidR="0089145A">
          <w:rPr>
            <w:webHidden/>
          </w:rPr>
          <w:fldChar w:fldCharType="separate"/>
        </w:r>
        <w:r w:rsidR="00346C5B">
          <w:rPr>
            <w:webHidden/>
          </w:rPr>
          <w:t>5</w:t>
        </w:r>
        <w:r w:rsidR="0089145A">
          <w:rPr>
            <w:webHidden/>
          </w:rPr>
          <w:fldChar w:fldCharType="end"/>
        </w:r>
      </w:hyperlink>
    </w:p>
    <w:p w14:paraId="2FE66EAF" w14:textId="00907C00" w:rsidR="0089145A" w:rsidRDefault="00D44DA4">
      <w:pPr>
        <w:pStyle w:val="TOC1"/>
        <w:rPr>
          <w:rFonts w:asciiTheme="minorHAnsi" w:eastAsiaTheme="minorEastAsia" w:hAnsiTheme="minorHAnsi" w:cstheme="minorBidi"/>
          <w:bCs w:val="0"/>
          <w:iCs w:val="0"/>
          <w:caps w:val="0"/>
          <w:sz w:val="22"/>
          <w:szCs w:val="22"/>
          <w:lang w:eastAsia="nl-NL"/>
        </w:rPr>
      </w:pPr>
      <w:hyperlink w:anchor="_Toc75276173" w:history="1">
        <w:r w:rsidR="0089145A" w:rsidRPr="005313AA">
          <w:rPr>
            <w:rStyle w:val="Hyperlink"/>
          </w:rPr>
          <w:t>3</w:t>
        </w:r>
        <w:r w:rsidR="0089145A">
          <w:rPr>
            <w:rFonts w:asciiTheme="minorHAnsi" w:eastAsiaTheme="minorEastAsia" w:hAnsiTheme="minorHAnsi" w:cstheme="minorBidi"/>
            <w:bCs w:val="0"/>
            <w:iCs w:val="0"/>
            <w:caps w:val="0"/>
            <w:sz w:val="22"/>
            <w:szCs w:val="22"/>
            <w:lang w:eastAsia="nl-NL"/>
          </w:rPr>
          <w:tab/>
        </w:r>
        <w:r w:rsidR="0089145A" w:rsidRPr="005313AA">
          <w:rPr>
            <w:rStyle w:val="Hyperlink"/>
          </w:rPr>
          <w:t>Modules</w:t>
        </w:r>
        <w:r w:rsidR="0089145A">
          <w:rPr>
            <w:webHidden/>
          </w:rPr>
          <w:tab/>
        </w:r>
        <w:r w:rsidR="0089145A">
          <w:rPr>
            <w:webHidden/>
          </w:rPr>
          <w:fldChar w:fldCharType="begin"/>
        </w:r>
        <w:r w:rsidR="0089145A">
          <w:rPr>
            <w:webHidden/>
          </w:rPr>
          <w:instrText xml:space="preserve"> PAGEREF _Toc75276173 \h </w:instrText>
        </w:r>
        <w:r w:rsidR="0089145A">
          <w:rPr>
            <w:webHidden/>
          </w:rPr>
        </w:r>
        <w:r w:rsidR="0089145A">
          <w:rPr>
            <w:webHidden/>
          </w:rPr>
          <w:fldChar w:fldCharType="separate"/>
        </w:r>
        <w:r w:rsidR="00346C5B">
          <w:rPr>
            <w:webHidden/>
          </w:rPr>
          <w:t>6</w:t>
        </w:r>
        <w:r w:rsidR="0089145A">
          <w:rPr>
            <w:webHidden/>
          </w:rPr>
          <w:fldChar w:fldCharType="end"/>
        </w:r>
      </w:hyperlink>
    </w:p>
    <w:p w14:paraId="3630EDEA" w14:textId="711CD74D" w:rsidR="0089145A" w:rsidRDefault="00D44DA4">
      <w:pPr>
        <w:pStyle w:val="TOC2"/>
        <w:rPr>
          <w:rFonts w:asciiTheme="minorHAnsi" w:eastAsiaTheme="minorEastAsia" w:hAnsiTheme="minorHAnsi" w:cstheme="minorBidi"/>
          <w:noProof/>
          <w:sz w:val="22"/>
          <w:szCs w:val="22"/>
          <w:lang w:eastAsia="nl-NL"/>
        </w:rPr>
      </w:pPr>
      <w:hyperlink w:anchor="_Toc75276174" w:history="1">
        <w:r w:rsidR="0089145A" w:rsidRPr="005313AA">
          <w:rPr>
            <w:rStyle w:val="Hyperlink"/>
            <w:noProof/>
            <w14:scene3d>
              <w14:camera w14:prst="orthographicFront"/>
              <w14:lightRig w14:rig="threePt" w14:dir="t">
                <w14:rot w14:lat="0" w14:lon="0" w14:rev="0"/>
              </w14:lightRig>
            </w14:scene3d>
          </w:rPr>
          <w:t>3.1</w:t>
        </w:r>
        <w:r w:rsidR="0089145A">
          <w:rPr>
            <w:rFonts w:asciiTheme="minorHAnsi" w:eastAsiaTheme="minorEastAsia" w:hAnsiTheme="minorHAnsi" w:cstheme="minorBidi"/>
            <w:noProof/>
            <w:sz w:val="22"/>
            <w:szCs w:val="22"/>
            <w:lang w:eastAsia="nl-NL"/>
          </w:rPr>
          <w:tab/>
        </w:r>
        <w:r w:rsidR="0089145A" w:rsidRPr="005313AA">
          <w:rPr>
            <w:rStyle w:val="Hyperlink"/>
            <w:noProof/>
          </w:rPr>
          <w:t>Contract management</w:t>
        </w:r>
        <w:r w:rsidR="0089145A">
          <w:rPr>
            <w:noProof/>
            <w:webHidden/>
          </w:rPr>
          <w:tab/>
        </w:r>
        <w:r w:rsidR="0089145A">
          <w:rPr>
            <w:noProof/>
            <w:webHidden/>
          </w:rPr>
          <w:fldChar w:fldCharType="begin"/>
        </w:r>
        <w:r w:rsidR="0089145A">
          <w:rPr>
            <w:noProof/>
            <w:webHidden/>
          </w:rPr>
          <w:instrText xml:space="preserve"> PAGEREF _Toc75276174 \h </w:instrText>
        </w:r>
        <w:r w:rsidR="0089145A">
          <w:rPr>
            <w:noProof/>
            <w:webHidden/>
          </w:rPr>
        </w:r>
        <w:r w:rsidR="0089145A">
          <w:rPr>
            <w:noProof/>
            <w:webHidden/>
          </w:rPr>
          <w:fldChar w:fldCharType="separate"/>
        </w:r>
        <w:r w:rsidR="00346C5B">
          <w:rPr>
            <w:noProof/>
            <w:webHidden/>
          </w:rPr>
          <w:t>6</w:t>
        </w:r>
        <w:r w:rsidR="0089145A">
          <w:rPr>
            <w:noProof/>
            <w:webHidden/>
          </w:rPr>
          <w:fldChar w:fldCharType="end"/>
        </w:r>
      </w:hyperlink>
    </w:p>
    <w:p w14:paraId="0E2408A5" w14:textId="589F5185" w:rsidR="0089145A" w:rsidRDefault="00D44DA4">
      <w:pPr>
        <w:pStyle w:val="TOC3"/>
        <w:tabs>
          <w:tab w:val="left" w:pos="2459"/>
        </w:tabs>
        <w:rPr>
          <w:rFonts w:asciiTheme="minorHAnsi" w:eastAsiaTheme="minorEastAsia" w:hAnsiTheme="minorHAnsi" w:cstheme="minorBidi"/>
          <w:iCs w:val="0"/>
          <w:sz w:val="22"/>
          <w:szCs w:val="22"/>
          <w:lang w:eastAsia="nl-NL"/>
        </w:rPr>
      </w:pPr>
      <w:hyperlink w:anchor="_Toc75276175" w:history="1">
        <w:r w:rsidR="0089145A" w:rsidRPr="005313AA">
          <w:rPr>
            <w:rStyle w:val="Hyperlink"/>
          </w:rPr>
          <w:t>3.1.1</w:t>
        </w:r>
        <w:r w:rsidR="0089145A">
          <w:rPr>
            <w:rFonts w:asciiTheme="minorHAnsi" w:eastAsiaTheme="minorEastAsia" w:hAnsiTheme="minorHAnsi" w:cstheme="minorBidi"/>
            <w:iCs w:val="0"/>
            <w:sz w:val="22"/>
            <w:szCs w:val="22"/>
            <w:lang w:eastAsia="nl-NL"/>
          </w:rPr>
          <w:tab/>
        </w:r>
        <w:r w:rsidR="0089145A" w:rsidRPr="005313AA">
          <w:rPr>
            <w:rStyle w:val="Hyperlink"/>
          </w:rPr>
          <w:t>Afwijkende facturatiefrequentie instelbaar bij dienstverleningsovereenkomsten</w:t>
        </w:r>
        <w:r w:rsidR="0089145A">
          <w:rPr>
            <w:webHidden/>
          </w:rPr>
          <w:tab/>
        </w:r>
        <w:r w:rsidR="0089145A">
          <w:rPr>
            <w:webHidden/>
          </w:rPr>
          <w:fldChar w:fldCharType="begin"/>
        </w:r>
        <w:r w:rsidR="0089145A">
          <w:rPr>
            <w:webHidden/>
          </w:rPr>
          <w:instrText xml:space="preserve"> PAGEREF _Toc75276175 \h </w:instrText>
        </w:r>
        <w:r w:rsidR="0089145A">
          <w:rPr>
            <w:webHidden/>
          </w:rPr>
        </w:r>
        <w:r w:rsidR="0089145A">
          <w:rPr>
            <w:webHidden/>
          </w:rPr>
          <w:fldChar w:fldCharType="separate"/>
        </w:r>
        <w:r w:rsidR="00346C5B">
          <w:rPr>
            <w:webHidden/>
          </w:rPr>
          <w:t>6</w:t>
        </w:r>
        <w:r w:rsidR="0089145A">
          <w:rPr>
            <w:webHidden/>
          </w:rPr>
          <w:fldChar w:fldCharType="end"/>
        </w:r>
      </w:hyperlink>
    </w:p>
    <w:p w14:paraId="176C653B" w14:textId="1E05E50B" w:rsidR="0089145A" w:rsidRDefault="00D44DA4">
      <w:pPr>
        <w:pStyle w:val="TOC3"/>
        <w:tabs>
          <w:tab w:val="left" w:pos="2459"/>
        </w:tabs>
        <w:rPr>
          <w:rFonts w:asciiTheme="minorHAnsi" w:eastAsiaTheme="minorEastAsia" w:hAnsiTheme="minorHAnsi" w:cstheme="minorBidi"/>
          <w:iCs w:val="0"/>
          <w:sz w:val="22"/>
          <w:szCs w:val="22"/>
          <w:lang w:eastAsia="nl-NL"/>
        </w:rPr>
      </w:pPr>
      <w:hyperlink w:anchor="_Toc75276176" w:history="1">
        <w:r w:rsidR="0089145A" w:rsidRPr="005313AA">
          <w:rPr>
            <w:rStyle w:val="Hyperlink"/>
          </w:rPr>
          <w:t>3.1.2</w:t>
        </w:r>
        <w:r w:rsidR="0089145A">
          <w:rPr>
            <w:rFonts w:asciiTheme="minorHAnsi" w:eastAsiaTheme="minorEastAsia" w:hAnsiTheme="minorHAnsi" w:cstheme="minorBidi"/>
            <w:iCs w:val="0"/>
            <w:sz w:val="22"/>
            <w:szCs w:val="22"/>
            <w:lang w:eastAsia="nl-NL"/>
          </w:rPr>
          <w:tab/>
        </w:r>
        <w:r w:rsidR="0089145A" w:rsidRPr="005313AA">
          <w:rPr>
            <w:rStyle w:val="Hyperlink"/>
          </w:rPr>
          <w:t>Aankondiging leveranciers – vergoedingscontractmodellen</w:t>
        </w:r>
        <w:r w:rsidR="0089145A">
          <w:rPr>
            <w:webHidden/>
          </w:rPr>
          <w:tab/>
        </w:r>
        <w:r w:rsidR="0089145A">
          <w:rPr>
            <w:webHidden/>
          </w:rPr>
          <w:fldChar w:fldCharType="begin"/>
        </w:r>
        <w:r w:rsidR="0089145A">
          <w:rPr>
            <w:webHidden/>
          </w:rPr>
          <w:instrText xml:space="preserve"> PAGEREF _Toc75276176 \h </w:instrText>
        </w:r>
        <w:r w:rsidR="0089145A">
          <w:rPr>
            <w:webHidden/>
          </w:rPr>
        </w:r>
        <w:r w:rsidR="0089145A">
          <w:rPr>
            <w:webHidden/>
          </w:rPr>
          <w:fldChar w:fldCharType="separate"/>
        </w:r>
        <w:r w:rsidR="00346C5B">
          <w:rPr>
            <w:webHidden/>
          </w:rPr>
          <w:t>6</w:t>
        </w:r>
        <w:r w:rsidR="0089145A">
          <w:rPr>
            <w:webHidden/>
          </w:rPr>
          <w:fldChar w:fldCharType="end"/>
        </w:r>
      </w:hyperlink>
    </w:p>
    <w:p w14:paraId="34744042" w14:textId="536B69EC" w:rsidR="0089145A" w:rsidRPr="0089145A" w:rsidRDefault="00D44DA4" w:rsidP="0089145A">
      <w:pPr>
        <w:pStyle w:val="TOC4"/>
        <w:rPr>
          <w:rFonts w:eastAsiaTheme="minorEastAsia" w:cstheme="minorBidi"/>
          <w:iCs w:val="0"/>
          <w:noProof/>
          <w:lang w:eastAsia="nl-NL"/>
        </w:rPr>
      </w:pPr>
      <w:hyperlink w:anchor="_Toc75276177" w:history="1">
        <w:r w:rsidR="0089145A" w:rsidRPr="0089145A">
          <w:rPr>
            <w:rStyle w:val="Hyperlink"/>
            <w:rFonts w:ascii="FuturaBT Light" w:hAnsi="FuturaBT Light"/>
            <w:noProof/>
            <w:sz w:val="16"/>
            <w:szCs w:val="16"/>
          </w:rPr>
          <w:t>3.1.2.1</w:t>
        </w:r>
        <w:r w:rsidR="0089145A" w:rsidRPr="0089145A">
          <w:rPr>
            <w:rFonts w:eastAsiaTheme="minorEastAsia" w:cstheme="minorBidi"/>
            <w:iCs w:val="0"/>
            <w:noProof/>
            <w:lang w:eastAsia="nl-NL"/>
          </w:rPr>
          <w:tab/>
        </w:r>
        <w:r w:rsidR="0089145A" w:rsidRPr="0089145A">
          <w:rPr>
            <w:rStyle w:val="Hyperlink"/>
            <w:rFonts w:ascii="FuturaBT Light" w:hAnsi="FuturaBT Light"/>
            <w:noProof/>
            <w:sz w:val="16"/>
            <w:szCs w:val="16"/>
          </w:rPr>
          <w:t>Leveranciers</w:t>
        </w:r>
        <w:r w:rsidR="0089145A" w:rsidRPr="0089145A">
          <w:rPr>
            <w:noProof/>
            <w:webHidden/>
          </w:rPr>
          <w:tab/>
        </w:r>
        <w:r w:rsidR="0089145A" w:rsidRPr="0089145A">
          <w:rPr>
            <w:noProof/>
            <w:webHidden/>
          </w:rPr>
          <w:fldChar w:fldCharType="begin"/>
        </w:r>
        <w:r w:rsidR="0089145A" w:rsidRPr="0089145A">
          <w:rPr>
            <w:noProof/>
            <w:webHidden/>
          </w:rPr>
          <w:instrText xml:space="preserve"> PAGEREF _Toc75276177 \h </w:instrText>
        </w:r>
        <w:r w:rsidR="0089145A" w:rsidRPr="0089145A">
          <w:rPr>
            <w:noProof/>
            <w:webHidden/>
          </w:rPr>
        </w:r>
        <w:r w:rsidR="0089145A" w:rsidRPr="0089145A">
          <w:rPr>
            <w:noProof/>
            <w:webHidden/>
          </w:rPr>
          <w:fldChar w:fldCharType="separate"/>
        </w:r>
        <w:r w:rsidR="00346C5B">
          <w:rPr>
            <w:noProof/>
            <w:webHidden/>
          </w:rPr>
          <w:t>7</w:t>
        </w:r>
        <w:r w:rsidR="0089145A" w:rsidRPr="0089145A">
          <w:rPr>
            <w:noProof/>
            <w:webHidden/>
          </w:rPr>
          <w:fldChar w:fldCharType="end"/>
        </w:r>
      </w:hyperlink>
    </w:p>
    <w:p w14:paraId="6AD1E3D0" w14:textId="453F5967" w:rsidR="0089145A" w:rsidRPr="0089145A" w:rsidRDefault="00D44DA4" w:rsidP="0089145A">
      <w:pPr>
        <w:pStyle w:val="TOC4"/>
        <w:rPr>
          <w:rFonts w:eastAsiaTheme="minorEastAsia" w:cstheme="minorBidi"/>
          <w:iCs w:val="0"/>
          <w:noProof/>
          <w:lang w:eastAsia="nl-NL"/>
        </w:rPr>
      </w:pPr>
      <w:hyperlink w:anchor="_Toc75276178" w:history="1">
        <w:r w:rsidR="0089145A" w:rsidRPr="0089145A">
          <w:rPr>
            <w:rStyle w:val="Hyperlink"/>
            <w:rFonts w:ascii="FuturaBT Light" w:hAnsi="FuturaBT Light"/>
            <w:noProof/>
            <w:sz w:val="16"/>
            <w:szCs w:val="16"/>
          </w:rPr>
          <w:t>3.1.2.2</w:t>
        </w:r>
        <w:r w:rsidR="0089145A" w:rsidRPr="0089145A">
          <w:rPr>
            <w:rFonts w:eastAsiaTheme="minorEastAsia" w:cstheme="minorBidi"/>
            <w:iCs w:val="0"/>
            <w:noProof/>
            <w:lang w:eastAsia="nl-NL"/>
          </w:rPr>
          <w:tab/>
        </w:r>
        <w:r w:rsidR="0089145A" w:rsidRPr="0089145A">
          <w:rPr>
            <w:rStyle w:val="Hyperlink"/>
            <w:rFonts w:ascii="FuturaBT Light" w:hAnsi="FuturaBT Light"/>
            <w:noProof/>
            <w:sz w:val="16"/>
            <w:szCs w:val="16"/>
          </w:rPr>
          <w:t>Gebruikerbeheer – nieuwe tab ‘contract’</w:t>
        </w:r>
        <w:r w:rsidR="0089145A" w:rsidRPr="0089145A">
          <w:rPr>
            <w:noProof/>
            <w:webHidden/>
          </w:rPr>
          <w:tab/>
        </w:r>
        <w:r w:rsidR="0089145A" w:rsidRPr="0089145A">
          <w:rPr>
            <w:noProof/>
            <w:webHidden/>
          </w:rPr>
          <w:fldChar w:fldCharType="begin"/>
        </w:r>
        <w:r w:rsidR="0089145A" w:rsidRPr="0089145A">
          <w:rPr>
            <w:noProof/>
            <w:webHidden/>
          </w:rPr>
          <w:instrText xml:space="preserve"> PAGEREF _Toc75276178 \h </w:instrText>
        </w:r>
        <w:r w:rsidR="0089145A" w:rsidRPr="0089145A">
          <w:rPr>
            <w:noProof/>
            <w:webHidden/>
          </w:rPr>
        </w:r>
        <w:r w:rsidR="0089145A" w:rsidRPr="0089145A">
          <w:rPr>
            <w:noProof/>
            <w:webHidden/>
          </w:rPr>
          <w:fldChar w:fldCharType="separate"/>
        </w:r>
        <w:r w:rsidR="00346C5B">
          <w:rPr>
            <w:noProof/>
            <w:webHidden/>
          </w:rPr>
          <w:t>7</w:t>
        </w:r>
        <w:r w:rsidR="0089145A" w:rsidRPr="0089145A">
          <w:rPr>
            <w:noProof/>
            <w:webHidden/>
          </w:rPr>
          <w:fldChar w:fldCharType="end"/>
        </w:r>
      </w:hyperlink>
    </w:p>
    <w:p w14:paraId="111D997A" w14:textId="3A205A30" w:rsidR="0089145A" w:rsidRPr="0089145A" w:rsidRDefault="00D44DA4" w:rsidP="0089145A">
      <w:pPr>
        <w:pStyle w:val="TOC4"/>
        <w:rPr>
          <w:rFonts w:eastAsiaTheme="minorEastAsia" w:cstheme="minorBidi"/>
          <w:iCs w:val="0"/>
          <w:noProof/>
          <w:lang w:eastAsia="nl-NL"/>
        </w:rPr>
      </w:pPr>
      <w:hyperlink w:anchor="_Toc75276179" w:history="1">
        <w:r w:rsidR="0089145A" w:rsidRPr="0089145A">
          <w:rPr>
            <w:rStyle w:val="Hyperlink"/>
            <w:rFonts w:ascii="FuturaBT Light" w:hAnsi="FuturaBT Light"/>
            <w:noProof/>
            <w:sz w:val="16"/>
            <w:szCs w:val="16"/>
          </w:rPr>
          <w:t>3.1.2.3</w:t>
        </w:r>
        <w:r w:rsidR="0089145A" w:rsidRPr="0089145A">
          <w:rPr>
            <w:rFonts w:eastAsiaTheme="minorEastAsia" w:cstheme="minorBidi"/>
            <w:iCs w:val="0"/>
            <w:noProof/>
            <w:lang w:eastAsia="nl-NL"/>
          </w:rPr>
          <w:tab/>
        </w:r>
        <w:r w:rsidR="0089145A" w:rsidRPr="0089145A">
          <w:rPr>
            <w:rStyle w:val="Hyperlink"/>
            <w:rFonts w:ascii="FuturaBT Light" w:hAnsi="FuturaBT Light"/>
            <w:noProof/>
            <w:sz w:val="16"/>
            <w:szCs w:val="16"/>
          </w:rPr>
          <w:t>Vergoedingscontracten</w:t>
        </w:r>
        <w:r w:rsidR="0089145A" w:rsidRPr="0089145A">
          <w:rPr>
            <w:noProof/>
            <w:webHidden/>
          </w:rPr>
          <w:tab/>
        </w:r>
        <w:r w:rsidR="0089145A" w:rsidRPr="0089145A">
          <w:rPr>
            <w:noProof/>
            <w:webHidden/>
          </w:rPr>
          <w:fldChar w:fldCharType="begin"/>
        </w:r>
        <w:r w:rsidR="0089145A" w:rsidRPr="0089145A">
          <w:rPr>
            <w:noProof/>
            <w:webHidden/>
          </w:rPr>
          <w:instrText xml:space="preserve"> PAGEREF _Toc75276179 \h </w:instrText>
        </w:r>
        <w:r w:rsidR="0089145A" w:rsidRPr="0089145A">
          <w:rPr>
            <w:noProof/>
            <w:webHidden/>
          </w:rPr>
        </w:r>
        <w:r w:rsidR="0089145A" w:rsidRPr="0089145A">
          <w:rPr>
            <w:noProof/>
            <w:webHidden/>
          </w:rPr>
          <w:fldChar w:fldCharType="separate"/>
        </w:r>
        <w:r w:rsidR="00346C5B">
          <w:rPr>
            <w:noProof/>
            <w:webHidden/>
          </w:rPr>
          <w:t>7</w:t>
        </w:r>
        <w:r w:rsidR="0089145A" w:rsidRPr="0089145A">
          <w:rPr>
            <w:noProof/>
            <w:webHidden/>
          </w:rPr>
          <w:fldChar w:fldCharType="end"/>
        </w:r>
      </w:hyperlink>
    </w:p>
    <w:p w14:paraId="37959AFD" w14:textId="01CA1F14" w:rsidR="0089145A" w:rsidRDefault="00D44DA4">
      <w:pPr>
        <w:pStyle w:val="TOC2"/>
        <w:rPr>
          <w:rFonts w:asciiTheme="minorHAnsi" w:eastAsiaTheme="minorEastAsia" w:hAnsiTheme="minorHAnsi" w:cstheme="minorBidi"/>
          <w:noProof/>
          <w:sz w:val="22"/>
          <w:szCs w:val="22"/>
          <w:lang w:eastAsia="nl-NL"/>
        </w:rPr>
      </w:pPr>
      <w:hyperlink w:anchor="_Toc75276180" w:history="1">
        <w:r w:rsidR="0089145A" w:rsidRPr="005313AA">
          <w:rPr>
            <w:rStyle w:val="Hyperlink"/>
            <w:noProof/>
            <w14:scene3d>
              <w14:camera w14:prst="orthographicFront"/>
              <w14:lightRig w14:rig="threePt" w14:dir="t">
                <w14:rot w14:lat="0" w14:lon="0" w14:rev="0"/>
              </w14:lightRig>
            </w14:scene3d>
          </w:rPr>
          <w:t>3.2</w:t>
        </w:r>
        <w:r w:rsidR="0089145A">
          <w:rPr>
            <w:rFonts w:asciiTheme="minorHAnsi" w:eastAsiaTheme="minorEastAsia" w:hAnsiTheme="minorHAnsi" w:cstheme="minorBidi"/>
            <w:noProof/>
            <w:sz w:val="22"/>
            <w:szCs w:val="22"/>
            <w:lang w:eastAsia="nl-NL"/>
          </w:rPr>
          <w:tab/>
        </w:r>
        <w:r w:rsidR="0089145A" w:rsidRPr="005313AA">
          <w:rPr>
            <w:rStyle w:val="Hyperlink"/>
            <w:noProof/>
          </w:rPr>
          <w:t>Polisregistratie</w:t>
        </w:r>
        <w:r w:rsidR="0089145A">
          <w:rPr>
            <w:noProof/>
            <w:webHidden/>
          </w:rPr>
          <w:tab/>
        </w:r>
        <w:r w:rsidR="0089145A">
          <w:rPr>
            <w:noProof/>
            <w:webHidden/>
          </w:rPr>
          <w:fldChar w:fldCharType="begin"/>
        </w:r>
        <w:r w:rsidR="0089145A">
          <w:rPr>
            <w:noProof/>
            <w:webHidden/>
          </w:rPr>
          <w:instrText xml:space="preserve"> PAGEREF _Toc75276180 \h </w:instrText>
        </w:r>
        <w:r w:rsidR="0089145A">
          <w:rPr>
            <w:noProof/>
            <w:webHidden/>
          </w:rPr>
        </w:r>
        <w:r w:rsidR="0089145A">
          <w:rPr>
            <w:noProof/>
            <w:webHidden/>
          </w:rPr>
          <w:fldChar w:fldCharType="separate"/>
        </w:r>
        <w:r w:rsidR="00346C5B">
          <w:rPr>
            <w:noProof/>
            <w:webHidden/>
          </w:rPr>
          <w:t>7</w:t>
        </w:r>
        <w:r w:rsidR="0089145A">
          <w:rPr>
            <w:noProof/>
            <w:webHidden/>
          </w:rPr>
          <w:fldChar w:fldCharType="end"/>
        </w:r>
      </w:hyperlink>
    </w:p>
    <w:p w14:paraId="0167A232" w14:textId="144D7349" w:rsidR="0089145A" w:rsidRDefault="00D44DA4">
      <w:pPr>
        <w:pStyle w:val="TOC3"/>
        <w:tabs>
          <w:tab w:val="left" w:pos="2459"/>
        </w:tabs>
        <w:rPr>
          <w:rFonts w:asciiTheme="minorHAnsi" w:eastAsiaTheme="minorEastAsia" w:hAnsiTheme="minorHAnsi" w:cstheme="minorBidi"/>
          <w:iCs w:val="0"/>
          <w:sz w:val="22"/>
          <w:szCs w:val="22"/>
          <w:lang w:eastAsia="nl-NL"/>
        </w:rPr>
      </w:pPr>
      <w:hyperlink w:anchor="_Toc75276181" w:history="1">
        <w:r w:rsidR="0089145A" w:rsidRPr="005313AA">
          <w:rPr>
            <w:rStyle w:val="Hyperlink"/>
          </w:rPr>
          <w:t>3.2.1</w:t>
        </w:r>
        <w:r w:rsidR="0089145A">
          <w:rPr>
            <w:rFonts w:asciiTheme="minorHAnsi" w:eastAsiaTheme="minorEastAsia" w:hAnsiTheme="minorHAnsi" w:cstheme="minorBidi"/>
            <w:iCs w:val="0"/>
            <w:sz w:val="22"/>
            <w:szCs w:val="22"/>
            <w:lang w:eastAsia="nl-NL"/>
          </w:rPr>
          <w:tab/>
        </w:r>
        <w:r w:rsidR="0089145A" w:rsidRPr="005313AA">
          <w:rPr>
            <w:rStyle w:val="Hyperlink"/>
          </w:rPr>
          <w:t>Automatisch in-/uitsluiten op verzekeringen</w:t>
        </w:r>
        <w:r w:rsidR="0089145A">
          <w:rPr>
            <w:webHidden/>
          </w:rPr>
          <w:tab/>
        </w:r>
        <w:r w:rsidR="0089145A">
          <w:rPr>
            <w:webHidden/>
          </w:rPr>
          <w:fldChar w:fldCharType="begin"/>
        </w:r>
        <w:r w:rsidR="0089145A">
          <w:rPr>
            <w:webHidden/>
          </w:rPr>
          <w:instrText xml:space="preserve"> PAGEREF _Toc75276181 \h </w:instrText>
        </w:r>
        <w:r w:rsidR="0089145A">
          <w:rPr>
            <w:webHidden/>
          </w:rPr>
        </w:r>
        <w:r w:rsidR="0089145A">
          <w:rPr>
            <w:webHidden/>
          </w:rPr>
          <w:fldChar w:fldCharType="separate"/>
        </w:r>
        <w:r w:rsidR="00346C5B">
          <w:rPr>
            <w:webHidden/>
          </w:rPr>
          <w:t>7</w:t>
        </w:r>
        <w:r w:rsidR="0089145A">
          <w:rPr>
            <w:webHidden/>
          </w:rPr>
          <w:fldChar w:fldCharType="end"/>
        </w:r>
      </w:hyperlink>
    </w:p>
    <w:p w14:paraId="794679B4" w14:textId="7FC61A2C"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6C5069B2" w:rsidR="006B4AFE" w:rsidRDefault="00974680" w:rsidP="00104082">
      <w:pPr>
        <w:pStyle w:val="Heading1"/>
      </w:pPr>
      <w:bookmarkStart w:id="2" w:name="_Toc75276165"/>
      <w:bookmarkEnd w:id="0"/>
      <w:bookmarkEnd w:id="1"/>
      <w:r>
        <w:lastRenderedPageBreak/>
        <w:t>Algemeen</w:t>
      </w:r>
      <w:bookmarkEnd w:id="2"/>
    </w:p>
    <w:p w14:paraId="2EB8E46F" w14:textId="29225AC7" w:rsidR="00162A35" w:rsidRPr="00DB6593" w:rsidRDefault="00974680" w:rsidP="00974680">
      <w:r>
        <w:t xml:space="preserve">Wij </w:t>
      </w:r>
      <w:r w:rsidRPr="00DB6593">
        <w:t xml:space="preserve">nemen </w:t>
      </w:r>
      <w:r w:rsidR="00BD44E4" w:rsidRPr="00DB6593">
        <w:t xml:space="preserve">woensdag </w:t>
      </w:r>
      <w:r w:rsidR="00DB6593" w:rsidRPr="00DB6593">
        <w:t xml:space="preserve">23 juni </w:t>
      </w:r>
      <w:r w:rsidRPr="00DB6593">
        <w:t xml:space="preserve">een release van de Xpert Suite met een aantal bugfixes en functionele wijzigingen in productie. Hierdoor zal </w:t>
      </w:r>
      <w:r w:rsidR="007A67CA" w:rsidRPr="00DB6593">
        <w:t xml:space="preserve">tussen 20.00 en 22.00 uur </w:t>
      </w:r>
      <w:r w:rsidRPr="00DB6593">
        <w:t>meerdere (korte) verstoringen in het gebruik mogelijk zijn, wij adviseren daarom enkel in te loggen wanneer dat noodzakelijk is.</w:t>
      </w:r>
    </w:p>
    <w:p w14:paraId="6B037F81" w14:textId="003F602B" w:rsidR="009E3D8A" w:rsidRPr="00DB6593" w:rsidRDefault="009E3D8A" w:rsidP="00974680"/>
    <w:p w14:paraId="78FCC4C3" w14:textId="1046A0BB" w:rsidR="0015473B" w:rsidRPr="0020049B" w:rsidRDefault="009E3D8A" w:rsidP="00974680">
      <w:r w:rsidRPr="00DB6593">
        <w:t>Volgende</w:t>
      </w:r>
      <w:r w:rsidR="00B96361" w:rsidRPr="00DB6593">
        <w:t xml:space="preserve"> geplande</w:t>
      </w:r>
      <w:r w:rsidRPr="00DB6593">
        <w:t xml:space="preserve"> release: </w:t>
      </w:r>
      <w:r w:rsidR="00BD44E4" w:rsidRPr="00DB6593">
        <w:t xml:space="preserve">woensdag </w:t>
      </w:r>
      <w:r w:rsidR="00DB6593" w:rsidRPr="00DB6593">
        <w:t>7 juli</w:t>
      </w:r>
      <w:r w:rsidR="00FD6B8E" w:rsidRPr="00DB6593">
        <w:t xml:space="preserve"> </w:t>
      </w:r>
      <w:r w:rsidR="0020049B" w:rsidRPr="00DB6593">
        <w:t>(</w:t>
      </w:r>
      <w:r w:rsidR="0020049B" w:rsidRPr="0020049B">
        <w:t>d</w:t>
      </w:r>
      <w:r w:rsidR="00956C02" w:rsidRPr="0020049B">
        <w:t>eze planning is onder voorbehoud</w:t>
      </w:r>
      <w:r w:rsidR="0020049B" w:rsidRPr="0020049B">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56AC1D1B" w:rsidR="003A1558" w:rsidRDefault="003A1558" w:rsidP="0015473B">
      <w:pPr>
        <w:pStyle w:val="Heading1"/>
      </w:pPr>
      <w:bookmarkStart w:id="4" w:name="_Toc75276166"/>
      <w:r>
        <w:t>Basis Xpert Suite</w:t>
      </w:r>
      <w:bookmarkEnd w:id="4"/>
    </w:p>
    <w:p w14:paraId="75954C4B" w14:textId="37E51D2D" w:rsidR="006459AF" w:rsidRDefault="00B5699B" w:rsidP="00C867C0">
      <w:pPr>
        <w:pStyle w:val="Heading2"/>
      </w:pPr>
      <w:bookmarkStart w:id="5" w:name="_Aangepaste_SMS-code_bij"/>
      <w:bookmarkStart w:id="6" w:name="_Widgets_frequent_en"/>
      <w:bookmarkStart w:id="7" w:name="_Toc75276167"/>
      <w:bookmarkEnd w:id="5"/>
      <w:bookmarkEnd w:id="6"/>
      <w:r>
        <w:t xml:space="preserve">XS </w:t>
      </w:r>
      <w:r w:rsidR="00770793">
        <w:t>G</w:t>
      </w:r>
      <w:r>
        <w:t>ebruiker</w:t>
      </w:r>
      <w:bookmarkEnd w:id="7"/>
    </w:p>
    <w:p w14:paraId="6B9D1798" w14:textId="1C2D4E71" w:rsidR="00BD44E4" w:rsidRDefault="004E5B0A" w:rsidP="004E5B0A">
      <w:pPr>
        <w:pStyle w:val="Heading3"/>
      </w:pPr>
      <w:bookmarkStart w:id="8" w:name="_Toc75276168"/>
      <w:r>
        <w:t>Actielinks voor dienstverband wijzigen en uit dienst melden</w:t>
      </w:r>
      <w:bookmarkEnd w:id="8"/>
    </w:p>
    <w:p w14:paraId="2CE7D73F" w14:textId="42B6E2F3" w:rsidR="004E5B0A" w:rsidRDefault="004E5B0A" w:rsidP="004E5B0A">
      <w:r>
        <w:t xml:space="preserve">Door het ontwikkelen van een aantal actielinks zijn de flows voor het wijzigen van dienstverbanden en het uit dienst melden van werknemers vereenvoudigd en verduidelijkt. De volgende actielinks zijn toegevoegd: </w:t>
      </w:r>
    </w:p>
    <w:p w14:paraId="3DD27C6C" w14:textId="7013DB9A" w:rsidR="004E5B0A" w:rsidRDefault="004E5B0A" w:rsidP="004F1299">
      <w:pPr>
        <w:pStyle w:val="ListParagraph"/>
      </w:pPr>
      <w:r>
        <w:t>Uit dienst melden (met en zonder ‘Dossier zoeken’)</w:t>
      </w:r>
    </w:p>
    <w:p w14:paraId="14C71057" w14:textId="42410034" w:rsidR="004E5B0A" w:rsidRDefault="004E5B0A" w:rsidP="004F1299">
      <w:pPr>
        <w:pStyle w:val="ListParagraph"/>
      </w:pPr>
      <w:r>
        <w:t>Wijzigen dienstverband (met en zonder ‘Dossier zoeken’)</w:t>
      </w:r>
    </w:p>
    <w:p w14:paraId="2E6C7982" w14:textId="5957171A" w:rsidR="00E82320" w:rsidRDefault="004E5B0A" w:rsidP="004E5B0A">
      <w:r>
        <w:t xml:space="preserve">De actielinks met ‘dossiersearch’ in de naam kunnen worden toegevoegd op de Actielinkwidget op de Homepagina in Portal. Na het klikken op de actielink, opent een ‘Dossier zoeken’-pagina, waarmee het juiste dossier voor de actie geselecteerd kan worden. </w:t>
      </w:r>
    </w:p>
    <w:p w14:paraId="0DBC272E" w14:textId="77777777" w:rsidR="00E82320" w:rsidRDefault="00E82320" w:rsidP="004E5B0A"/>
    <w:p w14:paraId="71786834" w14:textId="78840FED" w:rsidR="00E82320" w:rsidRDefault="00E82320" w:rsidP="004E5B0A">
      <w:r>
        <w:rPr>
          <w:rFonts w:asciiTheme="minorHAnsi" w:hAnsiTheme="minorHAnsi" w:cstheme="minorBidi"/>
          <w:noProof/>
          <w:sz w:val="22"/>
          <w:szCs w:val="22"/>
        </w:rPr>
        <w:drawing>
          <wp:inline distT="0" distB="0" distL="0" distR="0" wp14:anchorId="38BA1F34" wp14:editId="333AF98B">
            <wp:extent cx="5731510" cy="143637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436370"/>
                    </a:xfrm>
                    <a:prstGeom prst="rect">
                      <a:avLst/>
                    </a:prstGeom>
                    <a:noFill/>
                    <a:ln>
                      <a:noFill/>
                    </a:ln>
                  </pic:spPr>
                </pic:pic>
              </a:graphicData>
            </a:graphic>
          </wp:inline>
        </w:drawing>
      </w:r>
    </w:p>
    <w:p w14:paraId="48F4C639" w14:textId="77777777" w:rsidR="00E82320" w:rsidRDefault="00E82320" w:rsidP="004E5B0A"/>
    <w:p w14:paraId="7EFF62DA" w14:textId="1A7300DC" w:rsidR="004E5B0A" w:rsidRDefault="004E5B0A" w:rsidP="004E5B0A">
      <w:r>
        <w:t>De actielinks zonder ‘dossiersearch’ kunnen aan de actielijst binnen een dossier worden toegevoegd:</w:t>
      </w:r>
    </w:p>
    <w:p w14:paraId="17131369" w14:textId="51DC5173" w:rsidR="004E5B0A" w:rsidRDefault="004E5B0A" w:rsidP="004E5B0A">
      <w:r>
        <w:rPr>
          <w:rFonts w:asciiTheme="minorHAnsi" w:hAnsiTheme="minorHAnsi" w:cstheme="minorBidi"/>
          <w:noProof/>
          <w:sz w:val="22"/>
          <w:szCs w:val="22"/>
        </w:rPr>
        <w:drawing>
          <wp:inline distT="0" distB="0" distL="0" distR="0" wp14:anchorId="0C2D8C5C" wp14:editId="60308868">
            <wp:extent cx="2286000" cy="1941833"/>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9151" cy="1944510"/>
                    </a:xfrm>
                    <a:prstGeom prst="rect">
                      <a:avLst/>
                    </a:prstGeom>
                    <a:noFill/>
                    <a:ln>
                      <a:noFill/>
                    </a:ln>
                  </pic:spPr>
                </pic:pic>
              </a:graphicData>
            </a:graphic>
          </wp:inline>
        </w:drawing>
      </w:r>
    </w:p>
    <w:p w14:paraId="0E8FA96E" w14:textId="77777777" w:rsidR="004E5B0A" w:rsidRDefault="004E5B0A" w:rsidP="004E5B0A">
      <w:r>
        <w:lastRenderedPageBreak/>
        <w:t xml:space="preserve">  </w:t>
      </w:r>
    </w:p>
    <w:p w14:paraId="3863A320" w14:textId="57C3258E" w:rsidR="004E5B0A" w:rsidRDefault="00E82320" w:rsidP="004E5B0A">
      <w:r>
        <w:t>Op beide manieren komt de gebruiker uit op onderstaande pagina’s, waar de gewenste acties uitgevoerd kunnen worden:</w:t>
      </w:r>
    </w:p>
    <w:p w14:paraId="62FEB165" w14:textId="285984D5" w:rsidR="00E82320" w:rsidRDefault="00E82320" w:rsidP="004E5B0A">
      <w:r>
        <w:rPr>
          <w:rFonts w:asciiTheme="minorHAnsi" w:hAnsiTheme="minorHAnsi" w:cstheme="minorBidi"/>
          <w:noProof/>
          <w:sz w:val="22"/>
          <w:szCs w:val="22"/>
        </w:rPr>
        <w:drawing>
          <wp:inline distT="0" distB="0" distL="0" distR="0" wp14:anchorId="6D8D75BF" wp14:editId="406A2D8C">
            <wp:extent cx="5731510" cy="1478915"/>
            <wp:effectExtent l="0" t="0" r="254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478915"/>
                    </a:xfrm>
                    <a:prstGeom prst="rect">
                      <a:avLst/>
                    </a:prstGeom>
                    <a:noFill/>
                    <a:ln>
                      <a:noFill/>
                    </a:ln>
                  </pic:spPr>
                </pic:pic>
              </a:graphicData>
            </a:graphic>
          </wp:inline>
        </w:drawing>
      </w:r>
    </w:p>
    <w:p w14:paraId="0D49ACB5" w14:textId="531D8ECB" w:rsidR="00E82320" w:rsidRDefault="00E82320" w:rsidP="004E5B0A"/>
    <w:p w14:paraId="2FFBE879" w14:textId="6E1244EB" w:rsidR="00E82320" w:rsidRDefault="00E82320" w:rsidP="004E5B0A">
      <w:r>
        <w:rPr>
          <w:rFonts w:asciiTheme="minorHAnsi" w:hAnsiTheme="minorHAnsi" w:cstheme="minorBidi"/>
          <w:noProof/>
          <w:sz w:val="22"/>
          <w:szCs w:val="22"/>
        </w:rPr>
        <w:drawing>
          <wp:inline distT="0" distB="0" distL="0" distR="0" wp14:anchorId="4DEAD8D7" wp14:editId="458D987B">
            <wp:extent cx="4218305" cy="21393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8305" cy="2139315"/>
                    </a:xfrm>
                    <a:prstGeom prst="rect">
                      <a:avLst/>
                    </a:prstGeom>
                    <a:noFill/>
                    <a:ln>
                      <a:noFill/>
                    </a:ln>
                  </pic:spPr>
                </pic:pic>
              </a:graphicData>
            </a:graphic>
          </wp:inline>
        </w:drawing>
      </w:r>
    </w:p>
    <w:p w14:paraId="11270292" w14:textId="45DD1D66" w:rsidR="004E5B0A" w:rsidRDefault="004E5B0A" w:rsidP="004E5B0A">
      <w:r>
        <w:t xml:space="preserve"> </w:t>
      </w:r>
    </w:p>
    <w:p w14:paraId="4EBDB46F" w14:textId="4540810B" w:rsidR="00E82320" w:rsidRDefault="00E82320" w:rsidP="00E82320">
      <w:pPr>
        <w:pStyle w:val="Heading3"/>
      </w:pPr>
      <w:bookmarkStart w:id="9" w:name="_Toc75276169"/>
      <w:r>
        <w:t>Uitgebreid zoeken op afdeling</w:t>
      </w:r>
      <w:bookmarkEnd w:id="9"/>
    </w:p>
    <w:p w14:paraId="0147F9E8" w14:textId="7347BB21" w:rsidR="00E82320" w:rsidRDefault="00E82320" w:rsidP="00E82320">
      <w:r>
        <w:t>Om het bij (grote) werkgevers met veel afdelingen eenvoudiger te maken om een specifieke afdeling snel te kunnen vinden, is de ‘Uitgebreid zoeken’-functionaliteit uitgebreid met zoeken op afdelingen. Uitgebreid zoeken is te benaderen via de knoppen op de ‘Dossier zoeken’- en ‘Werkgever zoeken’-widgets op de Homepagina</w:t>
      </w:r>
      <w:r w:rsidR="00BF45CB">
        <w:t xml:space="preserve"> van Portal of via Organisatiebeheer</w:t>
      </w:r>
      <w:r>
        <w:t xml:space="preserve">. Wanneer een geautoriseerde gebruiker </w:t>
      </w:r>
      <w:r w:rsidR="00BF45CB">
        <w:t xml:space="preserve">(beheerder) </w:t>
      </w:r>
      <w:r>
        <w:t xml:space="preserve">een zoekopdracht vanuit beheer </w:t>
      </w:r>
      <w:r w:rsidR="00BF45CB">
        <w:t>uitvoert</w:t>
      </w:r>
      <w:r>
        <w:t>, kan er vanuit de resultaten</w:t>
      </w:r>
      <w:r w:rsidR="00BF45CB">
        <w:t>lijst</w:t>
      </w:r>
      <w:r>
        <w:t xml:space="preserve"> direct doorgeklikt worden naar de beheerpagina van de afdeling. </w:t>
      </w:r>
    </w:p>
    <w:p w14:paraId="414ADFB8" w14:textId="4C8645E8" w:rsidR="00E82320" w:rsidRDefault="00E82320" w:rsidP="00E82320">
      <w:r>
        <w:t xml:space="preserve">Wanneer een geautoriseerde gebruiker een zoekopdracht vanuit een andere plek </w:t>
      </w:r>
      <w:r w:rsidR="00BF45CB">
        <w:t>uitvoert</w:t>
      </w:r>
      <w:r>
        <w:t xml:space="preserve">, wordt de gebruiker doorgelinkt naar het betreffende afdelingsdossier mits deze beschikbaar is. </w:t>
      </w:r>
      <w:r w:rsidR="00BF45CB">
        <w:t>Als een afdeling geen dossier heeft, dan kan er niet op het resultaat geklikt worden.</w:t>
      </w:r>
    </w:p>
    <w:p w14:paraId="2138D49C" w14:textId="587366AB" w:rsidR="00E82320" w:rsidRDefault="00E82320" w:rsidP="00E82320">
      <w:r>
        <w:rPr>
          <w:noProof/>
        </w:rPr>
        <w:lastRenderedPageBreak/>
        <w:drawing>
          <wp:inline distT="0" distB="0" distL="0" distR="0" wp14:anchorId="3B8FFC34" wp14:editId="38072962">
            <wp:extent cx="5725160" cy="2329815"/>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5160" cy="2329815"/>
                    </a:xfrm>
                    <a:prstGeom prst="rect">
                      <a:avLst/>
                    </a:prstGeom>
                    <a:noFill/>
                    <a:ln>
                      <a:noFill/>
                    </a:ln>
                  </pic:spPr>
                </pic:pic>
              </a:graphicData>
            </a:graphic>
          </wp:inline>
        </w:drawing>
      </w:r>
    </w:p>
    <w:p w14:paraId="5E3693A6" w14:textId="6ECB25DD" w:rsidR="005B1D79" w:rsidRDefault="005B1D79" w:rsidP="00E82320"/>
    <w:p w14:paraId="5CE3C14D" w14:textId="142B25C7" w:rsidR="005B1D79" w:rsidRDefault="005B1D79" w:rsidP="005B1D79">
      <w:pPr>
        <w:pStyle w:val="Heading3"/>
      </w:pPr>
      <w:bookmarkStart w:id="10" w:name="_Toc75276170"/>
      <w:r>
        <w:t>Zoeken binnen vestigingen</w:t>
      </w:r>
      <w:bookmarkEnd w:id="10"/>
    </w:p>
    <w:p w14:paraId="287B7C8B" w14:textId="297E7341" w:rsidR="005B1D79" w:rsidRDefault="005B1D79" w:rsidP="005B1D79">
      <w:r>
        <w:t xml:space="preserve">Om het bij (grote) werkgevers met veel vestigingen eenvoudiger te maken om een specifieke vestiging te kunnen vinden, is aan de lijst met vestigingen </w:t>
      </w:r>
      <w:r w:rsidR="007D3C6E">
        <w:t xml:space="preserve">(in Werkgeverbeheer) </w:t>
      </w:r>
      <w:r>
        <w:t>bovenaan het ‘Overzicht vestigingen’ een zoekfunctie toegevoegd</w:t>
      </w:r>
      <w:r w:rsidR="007D3C6E">
        <w:t xml:space="preserve">. Hiermee is de </w:t>
      </w:r>
      <w:r>
        <w:t>juiste vestiging snel en makkelijk te vinden.</w:t>
      </w:r>
    </w:p>
    <w:p w14:paraId="0F05FE2C" w14:textId="73F48A1D" w:rsidR="005B1D79" w:rsidRDefault="005B1D79" w:rsidP="005B1D79">
      <w:r>
        <w:rPr>
          <w:rFonts w:asciiTheme="minorHAnsi" w:hAnsiTheme="minorHAnsi" w:cstheme="minorBidi"/>
          <w:noProof/>
          <w:sz w:val="22"/>
          <w:szCs w:val="22"/>
        </w:rPr>
        <w:drawing>
          <wp:inline distT="0" distB="0" distL="0" distR="0" wp14:anchorId="07637A37" wp14:editId="3AE353B2">
            <wp:extent cx="5731510" cy="1443355"/>
            <wp:effectExtent l="0" t="0" r="254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1443355"/>
                    </a:xfrm>
                    <a:prstGeom prst="rect">
                      <a:avLst/>
                    </a:prstGeom>
                    <a:noFill/>
                    <a:ln>
                      <a:noFill/>
                    </a:ln>
                  </pic:spPr>
                </pic:pic>
              </a:graphicData>
            </a:graphic>
          </wp:inline>
        </w:drawing>
      </w:r>
    </w:p>
    <w:p w14:paraId="03A963C9" w14:textId="73185C94" w:rsidR="005B1D79" w:rsidRPr="005B1D79" w:rsidRDefault="005B1D79" w:rsidP="005B1D79">
      <w:r>
        <w:t xml:space="preserve"> </w:t>
      </w:r>
    </w:p>
    <w:p w14:paraId="654F19B4" w14:textId="33431207" w:rsidR="00BD44E4" w:rsidRDefault="00BD44E4" w:rsidP="00BD44E4">
      <w:pPr>
        <w:pStyle w:val="Heading2"/>
      </w:pPr>
      <w:bookmarkStart w:id="11" w:name="_Toc75276171"/>
      <w:r>
        <w:t>Rapportages</w:t>
      </w:r>
      <w:bookmarkEnd w:id="11"/>
    </w:p>
    <w:p w14:paraId="0511F264" w14:textId="32CB938E" w:rsidR="00FF7382" w:rsidRDefault="00FF7382" w:rsidP="00FF7382">
      <w:pPr>
        <w:pStyle w:val="Heading3"/>
      </w:pPr>
      <w:bookmarkStart w:id="12" w:name="_Toc75276172"/>
      <w:r>
        <w:t>‘Structuurcode’ toegevoegd aan rapportage Verzuim_per_org.eenheid_incl_verzuimduurcategorieën</w:t>
      </w:r>
      <w:bookmarkEnd w:id="12"/>
    </w:p>
    <w:p w14:paraId="2F177032" w14:textId="46E88427" w:rsidR="00FF7382" w:rsidRPr="00FF7382" w:rsidRDefault="00FF7382" w:rsidP="00FF7382">
      <w:r>
        <w:t>Aan de standaardrapportage ‘Verzuim_per_org.eenheid_incl_verzuimduurcategorieën’ is de kolom ‘Code’ toegevoegd. Indien het organisatie-onderdeel een werkgever is, dan staat hier de werkgevercode. Als het een afdeling is, dan staat hier de afdelingscode. In alle andere gevallen (i.e. mappen) zal deze kolom leeg zijn.</w:t>
      </w:r>
    </w:p>
    <w:p w14:paraId="4382DA48" w14:textId="77777777" w:rsidR="00BD44E4" w:rsidRPr="00BD44E4" w:rsidRDefault="00BD44E4" w:rsidP="00BD44E4"/>
    <w:p w14:paraId="61D6E5D6" w14:textId="77777777" w:rsidR="00536499" w:rsidRPr="00BD693E" w:rsidRDefault="00536499" w:rsidP="00BD693E"/>
    <w:p w14:paraId="23DF9D41" w14:textId="10204B2C" w:rsidR="00BD44E4" w:rsidRPr="00BD44E4" w:rsidRDefault="00B5699B" w:rsidP="00BD44E4">
      <w:pPr>
        <w:pStyle w:val="Heading1"/>
      </w:pPr>
      <w:bookmarkStart w:id="13" w:name="_Toc75276173"/>
      <w:r>
        <w:lastRenderedPageBreak/>
        <w:t>Modules</w:t>
      </w:r>
      <w:bookmarkEnd w:id="13"/>
      <w:r w:rsidR="005B6063">
        <w:t xml:space="preserve"> </w:t>
      </w:r>
      <w:bookmarkStart w:id="14" w:name="_Verwijderen_van_gebruiker"/>
      <w:bookmarkEnd w:id="14"/>
    </w:p>
    <w:p w14:paraId="3BBE0EB7" w14:textId="2DC88FF2" w:rsidR="00B5699B" w:rsidRDefault="00B5699B" w:rsidP="00FD6B8E">
      <w:pPr>
        <w:pStyle w:val="Heading2"/>
      </w:pPr>
      <w:bookmarkStart w:id="15" w:name="_Toc75276174"/>
      <w:r>
        <w:t>Contract</w:t>
      </w:r>
      <w:r w:rsidR="00BD44E4">
        <w:t xml:space="preserve"> </w:t>
      </w:r>
      <w:r>
        <w:t>management</w:t>
      </w:r>
      <w:bookmarkEnd w:id="15"/>
    </w:p>
    <w:p w14:paraId="024708E4" w14:textId="069BD2A2" w:rsidR="00A52D55" w:rsidRDefault="00A52D55" w:rsidP="00A52D55">
      <w:pPr>
        <w:pStyle w:val="Heading3"/>
      </w:pPr>
      <w:bookmarkStart w:id="16" w:name="_Toc75276175"/>
      <w:r>
        <w:t>Afwijkende facturatiefrequentie</w:t>
      </w:r>
      <w:r w:rsidR="00A93F67">
        <w:t xml:space="preserve"> instelbaar bij dienstverleningsovereenkomsten</w:t>
      </w:r>
      <w:bookmarkEnd w:id="16"/>
    </w:p>
    <w:p w14:paraId="7FEA9C5B" w14:textId="1987BA81" w:rsidR="00A93F67" w:rsidRDefault="00A93F67" w:rsidP="00A93F67">
      <w:r>
        <w:t>Bij dienstverleningsovereenkomst</w:t>
      </w:r>
      <w:r w:rsidR="004E5B0A">
        <w:t>en</w:t>
      </w:r>
      <w:r>
        <w:t xml:space="preserve"> met een dienstverleningsvariatie</w:t>
      </w:r>
      <w:r w:rsidR="004E5B0A">
        <w:t>s</w:t>
      </w:r>
      <w:r>
        <w:t>, is het mogelijk om</w:t>
      </w:r>
      <w:r w:rsidR="004E5B0A">
        <w:t xml:space="preserve"> een </w:t>
      </w:r>
      <w:r>
        <w:t xml:space="preserve">afwijkende frequentie </w:t>
      </w:r>
      <w:r w:rsidR="004E5B0A">
        <w:t xml:space="preserve">in te stellen voor het factureren van </w:t>
      </w:r>
      <w:r>
        <w:t xml:space="preserve">de abonnementen. De keuzeopties zijn beperkt op basis van welk contractmodel je hebt gekozen en kunnen alleen in kortere periodes dan het originele contractmodel ingesteld worden. Bijvoorbeeld: een jaarcontract kan kiezen uit de afwijkende frequenties ‘Per halfjaar’, ‘Per kwartaal’ of ‘Maandelijks’, terwijl een kwartaalcontract alleen de instelling ‘Maandelijks’ kan krijgen. Op maandelijkse contracten kunnen geen afwijkende facturatiefrequenties ingesteld worden. </w:t>
      </w:r>
      <w:r w:rsidRPr="00EA538D">
        <w:rPr>
          <w:noProof/>
        </w:rPr>
        <w:drawing>
          <wp:inline distT="0" distB="0" distL="0" distR="0" wp14:anchorId="41C7926A" wp14:editId="2048BF61">
            <wp:extent cx="5712460" cy="2902585"/>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4"/>
                    <a:srcRect l="332" r="-1"/>
                    <a:stretch/>
                  </pic:blipFill>
                  <pic:spPr bwMode="auto">
                    <a:xfrm>
                      <a:off x="0" y="0"/>
                      <a:ext cx="5712460" cy="2902585"/>
                    </a:xfrm>
                    <a:prstGeom prst="rect">
                      <a:avLst/>
                    </a:prstGeom>
                    <a:ln>
                      <a:noFill/>
                    </a:ln>
                    <a:extLst>
                      <a:ext uri="{53640926-AAD7-44D8-BBD7-CCE9431645EC}">
                        <a14:shadowObscured xmlns:a14="http://schemas.microsoft.com/office/drawing/2010/main"/>
                      </a:ext>
                    </a:extLst>
                  </pic:spPr>
                </pic:pic>
              </a:graphicData>
            </a:graphic>
          </wp:inline>
        </w:drawing>
      </w:r>
    </w:p>
    <w:p w14:paraId="667D52DB" w14:textId="77777777" w:rsidR="00A93F67" w:rsidRDefault="00A93F67" w:rsidP="00A93F67"/>
    <w:p w14:paraId="70E088E0" w14:textId="0B540815" w:rsidR="00A93F67" w:rsidRDefault="00A93F67" w:rsidP="00A93F67">
      <w:r>
        <w:t>Wanneer er een afwijkende frequentie is gekozen, wordt het bedrag dat normaal betaald zou worden verdeeld over de nieuwe frequentie. In het onderstaande voorbeeld kun je zien dat een abonnement dat normaal jaarlijks gefactureerd, nu twee facturen heeft voor twee kwartalen</w:t>
      </w:r>
      <w:r w:rsidR="00F468AD">
        <w:t xml:space="preserve"> (voor de helft van het ingestelde bedrag bi</w:t>
      </w:r>
      <w:r w:rsidR="0008081B">
        <w:t>j</w:t>
      </w:r>
      <w:r w:rsidR="00F468AD">
        <w:t xml:space="preserve"> het contractmodel)</w:t>
      </w:r>
      <w:r>
        <w:t>.</w:t>
      </w:r>
    </w:p>
    <w:p w14:paraId="055C1F34" w14:textId="3A25BDEC" w:rsidR="00A93F67" w:rsidRDefault="00A93F67" w:rsidP="00A93F67">
      <w:r w:rsidRPr="00376323">
        <w:rPr>
          <w:noProof/>
        </w:rPr>
        <w:drawing>
          <wp:inline distT="0" distB="0" distL="0" distR="0" wp14:anchorId="54F3CAC5" wp14:editId="27B6BEB6">
            <wp:extent cx="5639587" cy="5525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39587" cy="552527"/>
                    </a:xfrm>
                    <a:prstGeom prst="rect">
                      <a:avLst/>
                    </a:prstGeom>
                  </pic:spPr>
                </pic:pic>
              </a:graphicData>
            </a:graphic>
          </wp:inline>
        </w:drawing>
      </w:r>
    </w:p>
    <w:p w14:paraId="70EFFA19" w14:textId="77777777" w:rsidR="00A93F67" w:rsidRDefault="00A93F67" w:rsidP="00A93F67"/>
    <w:p w14:paraId="5533EE25" w14:textId="5F15F819" w:rsidR="00C50C46" w:rsidRDefault="00855506" w:rsidP="00A52D55">
      <w:pPr>
        <w:pStyle w:val="Heading3"/>
      </w:pPr>
      <w:bookmarkStart w:id="17" w:name="_Toc75276176"/>
      <w:r>
        <w:t>Aankondiging leveranciers – vergoedingscontractmodellen</w:t>
      </w:r>
      <w:bookmarkEnd w:id="17"/>
    </w:p>
    <w:p w14:paraId="5FDC1D73" w14:textId="0EF2B176" w:rsidR="00855506" w:rsidRDefault="00855506" w:rsidP="00855506">
      <w:r>
        <w:t>We zijn bezig met nieuwe functionaliteit rondom leveranciers, vergoedingscontractmodellen en de koppeling hiertussen met gebruikers.</w:t>
      </w:r>
      <w:r w:rsidR="0089145A">
        <w:t xml:space="preserve"> </w:t>
      </w:r>
      <w:r>
        <w:t>Hiervan zijn al enkele onderdelen zichtbaar in beheer, hoewel dit nog niets doet. Komende releases wordt dit verder uitgebouwd en toegelicht in de release notes.</w:t>
      </w:r>
      <w:r w:rsidR="00F468AD" w:rsidRPr="00F468AD">
        <w:t xml:space="preserve"> </w:t>
      </w:r>
      <w:r w:rsidR="00F468AD">
        <w:t>Deze functionaliteit kan gebruikt worden om bij uitgevoerde verrichtingen ‘vergoedingen’ te betalen. Dit kan gebruikt worden om</w:t>
      </w:r>
      <w:r w:rsidR="0008081B">
        <w:t xml:space="preserve"> </w:t>
      </w:r>
      <w:r w:rsidR="00F468AD">
        <w:lastRenderedPageBreak/>
        <w:t>ontvangen facturen van leveranciers eenvoudiger te controleren, of door de gegenereerde vergoedingen als betaalopdrachten te koppelen met het boekhoudsysteem. Ook kan deze informatie gebruikt</w:t>
      </w:r>
      <w:r w:rsidR="00F468AD" w:rsidRPr="00F468AD">
        <w:t xml:space="preserve"> </w:t>
      </w:r>
      <w:r w:rsidR="00F468AD">
        <w:t>worden in de rapportages en datastreams om kostprijs-analyses van geleverde diensten te maken.</w:t>
      </w:r>
    </w:p>
    <w:p w14:paraId="50F70B31" w14:textId="3C8D505B" w:rsidR="00855506" w:rsidRDefault="00855506" w:rsidP="00855506">
      <w:pPr>
        <w:pStyle w:val="Heading4"/>
      </w:pPr>
      <w:bookmarkStart w:id="18" w:name="_Toc75276177"/>
      <w:r>
        <w:t>Leveranciers</w:t>
      </w:r>
      <w:bookmarkEnd w:id="18"/>
    </w:p>
    <w:p w14:paraId="14507945" w14:textId="0AB3A634" w:rsidR="00855506" w:rsidRDefault="00855506" w:rsidP="00855506">
      <w:r>
        <w:t>Onder Beheer &gt; Relatiebeheer is een nieuw onderdeel ‘Leveranciers’ te zien. Een leverancier is een nieuw type relatie, soortgelijk aan Aanmelders.</w:t>
      </w:r>
      <w:r w:rsidR="00F468AD">
        <w:t xml:space="preserve"> </w:t>
      </w:r>
    </w:p>
    <w:p w14:paraId="25DE1B09" w14:textId="32D95C2B" w:rsidR="00855506" w:rsidRDefault="00855506" w:rsidP="00855506">
      <w:pPr>
        <w:pStyle w:val="Heading4"/>
      </w:pPr>
      <w:bookmarkStart w:id="19" w:name="_Toc75276178"/>
      <w:r>
        <w:t>Gebruikerbeheer – nieuwe tab ‘contract’</w:t>
      </w:r>
      <w:bookmarkEnd w:id="19"/>
    </w:p>
    <w:p w14:paraId="2F1DB2D6" w14:textId="31C6CA19" w:rsidR="00855506" w:rsidRPr="00855506" w:rsidRDefault="00855506" w:rsidP="00855506">
      <w:r>
        <w:t xml:space="preserve">Bij gebruikers is een nieuwe tab ‘Contract’ zichtbaar. Via deze pagina kun je navigeren naar het contractbeheer van deze gebruiker. Hier is in te stellen of de gebruiker verrichtingen mag schrijven en of er vergoedingen betaald </w:t>
      </w:r>
      <w:r w:rsidR="00F468AD">
        <w:t>moeten</w:t>
      </w:r>
      <w:r>
        <w:t xml:space="preserve"> worden aan de leverancier voor geregistreerde verrichtingen van de gebruiker. Hierbij kan een leverancier en vergoedingscontract worden gekoppeld.</w:t>
      </w:r>
      <w:r w:rsidR="00F468AD">
        <w:t xml:space="preserve"> In de contractmodellen is in te stellen welke verrichtingen welke vergoeding kennen (deze kan ook 0 zijn)</w:t>
      </w:r>
      <w:r w:rsidR="0008081B">
        <w:t>.</w:t>
      </w:r>
    </w:p>
    <w:p w14:paraId="28A18C6E" w14:textId="7DF4E2A0" w:rsidR="00855506" w:rsidRDefault="00855506" w:rsidP="00855506">
      <w:pPr>
        <w:pStyle w:val="Heading4"/>
      </w:pPr>
      <w:bookmarkStart w:id="20" w:name="_Toc75276179"/>
      <w:r>
        <w:t>Vergoedingscontracten</w:t>
      </w:r>
      <w:bookmarkEnd w:id="20"/>
    </w:p>
    <w:p w14:paraId="36A70AD0" w14:textId="05914B12" w:rsidR="00855506" w:rsidRPr="00855506" w:rsidRDefault="00855506" w:rsidP="00855506">
      <w:r>
        <w:t xml:space="preserve">In </w:t>
      </w:r>
      <w:r w:rsidR="00F468AD">
        <w:t xml:space="preserve">de </w:t>
      </w:r>
      <w:r>
        <w:t>CMM kan een nieuw type contractmodel worden aangemaakt: een vergoedingscontractmodel. Een vergoedingscontractmodel moet een begeleidingscontract zijn en kan niet gekoppeld worden aan een dienstverlening</w:t>
      </w:r>
      <w:r w:rsidR="0089145A">
        <w:t>. Er kunnen wel prijscategorieën aan het contractmodel gehangen worden, waarvan de betalingsplichtige altijd de Leverancier is.</w:t>
      </w:r>
      <w:r w:rsidR="00F468AD">
        <w:t xml:space="preserve"> Hiermee kan met dezelfde functionaliteit als bij ‘verkoopcontractmodellen’ de vergoedingstariefstructuur worden vastgelegd voor leveranciers.</w:t>
      </w:r>
    </w:p>
    <w:p w14:paraId="1F3459DD" w14:textId="77777777" w:rsidR="00855506" w:rsidRPr="00855506" w:rsidRDefault="00855506" w:rsidP="00855506"/>
    <w:p w14:paraId="20D0E580" w14:textId="35337F1F" w:rsidR="00BD44E4" w:rsidRDefault="00BD44E4" w:rsidP="00BD44E4">
      <w:pPr>
        <w:pStyle w:val="Heading2"/>
      </w:pPr>
      <w:bookmarkStart w:id="21" w:name="_Toc75276180"/>
      <w:r>
        <w:t>Polisregistratie</w:t>
      </w:r>
      <w:bookmarkEnd w:id="21"/>
    </w:p>
    <w:p w14:paraId="13A08661" w14:textId="7883590E" w:rsidR="00A52D55" w:rsidRDefault="00A52D55" w:rsidP="00A52D55">
      <w:pPr>
        <w:pStyle w:val="Heading3"/>
      </w:pPr>
      <w:bookmarkStart w:id="22" w:name="_Toc75276181"/>
      <w:r>
        <w:t>Automatisch in-/uitsluit</w:t>
      </w:r>
      <w:r w:rsidR="007D3C6E">
        <w:t>en</w:t>
      </w:r>
      <w:r>
        <w:t xml:space="preserve"> op verzekering</w:t>
      </w:r>
      <w:r w:rsidR="00C4693F">
        <w:t>en</w:t>
      </w:r>
      <w:bookmarkEnd w:id="22"/>
    </w:p>
    <w:p w14:paraId="58C7FA52" w14:textId="75245343" w:rsidR="00A52D55" w:rsidRDefault="00A52D55" w:rsidP="00A52D55">
      <w:r>
        <w:t>Voorheen k</w:t>
      </w:r>
      <w:r w:rsidR="00885DBF">
        <w:t>o</w:t>
      </w:r>
      <w:r>
        <w:t xml:space="preserve">n een beheerder op verzekeringspolissen </w:t>
      </w:r>
      <w:r w:rsidR="00885DBF">
        <w:t xml:space="preserve">alleen </w:t>
      </w:r>
      <w:r>
        <w:t xml:space="preserve">handmatig werknemers in- of uitsluiten. Dit is vanaf nu ook geautomatiseerd mogelijk, waarbij deze automatische in- en uitsluitingen gebaseerd worden op de ingestelde aanvullende voorwaarden. </w:t>
      </w:r>
      <w:r w:rsidR="004F1299">
        <w:t xml:space="preserve">Per product en polis kan ingesteld worden welke aanvullende voorwaarden actief zijn en met welke variabelen. </w:t>
      </w:r>
      <w:r>
        <w:t>Er zijn 4 aanvullende voorwaarden beschikbaar:</w:t>
      </w:r>
    </w:p>
    <w:p w14:paraId="67205F74" w14:textId="77777777" w:rsidR="004F1299" w:rsidRDefault="004F1299" w:rsidP="00A52D55"/>
    <w:p w14:paraId="6D633590" w14:textId="07C0E249" w:rsidR="00A52D55" w:rsidRDefault="00885DBF" w:rsidP="00885DBF">
      <w:r w:rsidRPr="00885DBF">
        <w:rPr>
          <w:noProof/>
        </w:rPr>
        <w:drawing>
          <wp:inline distT="0" distB="0" distL="0" distR="0" wp14:anchorId="0959AC41" wp14:editId="6576F514">
            <wp:extent cx="5253487" cy="1588967"/>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60702" cy="1591149"/>
                    </a:xfrm>
                    <a:prstGeom prst="rect">
                      <a:avLst/>
                    </a:prstGeom>
                  </pic:spPr>
                </pic:pic>
              </a:graphicData>
            </a:graphic>
          </wp:inline>
        </w:drawing>
      </w:r>
    </w:p>
    <w:p w14:paraId="319B1912" w14:textId="3E700CE1" w:rsidR="004F1299" w:rsidRDefault="00C4693F" w:rsidP="00885DBF">
      <w:r>
        <w:t xml:space="preserve">Zo kunnen dus </w:t>
      </w:r>
      <w:r w:rsidR="00BD5AF4">
        <w:t xml:space="preserve">bijvoorbeeld </w:t>
      </w:r>
      <w:r>
        <w:t>automatisch werknemers die te jong zijn uitgesloten worden van een polis</w:t>
      </w:r>
      <w:r w:rsidR="004F1299">
        <w:t xml:space="preserve"> en </w:t>
      </w:r>
      <w:r>
        <w:t>zodra ze oud genoeg zijn worden ze automatisch weer ingesloten (tenzij ze op basis van een andere aanvullende voorwaarde uitgesloten moeten worden).</w:t>
      </w:r>
      <w:r w:rsidR="004F1299">
        <w:t xml:space="preserve"> </w:t>
      </w:r>
    </w:p>
    <w:p w14:paraId="6BAAEFD3" w14:textId="77777777" w:rsidR="004F1299" w:rsidRDefault="004F1299" w:rsidP="00885DBF"/>
    <w:p w14:paraId="328BA6EB" w14:textId="77777777" w:rsidR="004F1299" w:rsidRPr="004F1299" w:rsidRDefault="004F1299" w:rsidP="004F1299">
      <w:pPr>
        <w:rPr>
          <w:b/>
          <w:bCs/>
        </w:rPr>
      </w:pPr>
      <w:r>
        <w:rPr>
          <w:b/>
          <w:bCs/>
        </w:rPr>
        <w:lastRenderedPageBreak/>
        <w:t>Aanzetten functionaliteit</w:t>
      </w:r>
    </w:p>
    <w:p w14:paraId="328F4C54" w14:textId="3C8D214D" w:rsidR="004F1299" w:rsidRDefault="004F1299" w:rsidP="004F1299">
      <w:r>
        <w:t>Deze nieuwe functionaliteit staat standaard uit, maar is aan te zetten via Beheer &gt; Applicatieinstellingen &gt; Configuratieparameters &gt; BusinessRules &gt; Standaard waarde = 1. Wanneer deze waarde op 1 staat, zijn de aanvullende voorwaarden op alle verzekeringsproducten en -polissen zichtbaar, maar staan in eerste instantie allemaal uit. Per product en polis kan dan bepaald worden welke voorwaarde(n) van toepassing is/zijn. Het vinkje voor de voorwaarde moet aangevinkt worden om deze actief te maken.</w:t>
      </w:r>
    </w:p>
    <w:p w14:paraId="0D436490" w14:textId="325628A4" w:rsidR="00967032" w:rsidRDefault="00967032" w:rsidP="004F1299">
      <w:r w:rsidRPr="00967032">
        <w:rPr>
          <w:noProof/>
        </w:rPr>
        <w:drawing>
          <wp:inline distT="0" distB="0" distL="0" distR="0" wp14:anchorId="47B478E7" wp14:editId="1628CDAC">
            <wp:extent cx="5731510" cy="189293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892935"/>
                    </a:xfrm>
                    <a:prstGeom prst="rect">
                      <a:avLst/>
                    </a:prstGeom>
                  </pic:spPr>
                </pic:pic>
              </a:graphicData>
            </a:graphic>
          </wp:inline>
        </w:drawing>
      </w:r>
    </w:p>
    <w:p w14:paraId="2E61D978" w14:textId="7AE0ABC7" w:rsidR="00D45051" w:rsidRDefault="00D45051" w:rsidP="004F1299"/>
    <w:p w14:paraId="42D2C30F" w14:textId="4F847F37" w:rsidR="00D45051" w:rsidRDefault="00D45051" w:rsidP="00D45051">
      <w:r>
        <w:t>Let op: alleen indien gebruikt wordt gemaakt van de pensioendocumenten-functionaliteit, wordt er elke nacht gecheckt of werknemers aan alle ingestelde voorwaarden voldoen voor polisdeelname. Als er echter geen gebruik wordt gemaakt van de pensioendocumenten-functionaliteit, is er aanvullende inrichting nodig om automatische in-/uitsluitingen te laten werken. Neem hiervoor contact op met de Xpert Desk.</w:t>
      </w:r>
    </w:p>
    <w:p w14:paraId="08DC873C" w14:textId="5B11C206" w:rsidR="00C4693F" w:rsidRDefault="00C4693F" w:rsidP="00885DBF"/>
    <w:p w14:paraId="534D3CA4" w14:textId="75B43A78" w:rsidR="004F1299" w:rsidRPr="004F1299" w:rsidRDefault="004F1299" w:rsidP="00885DBF">
      <w:pPr>
        <w:rPr>
          <w:b/>
          <w:bCs/>
        </w:rPr>
      </w:pPr>
      <w:r>
        <w:rPr>
          <w:b/>
          <w:bCs/>
        </w:rPr>
        <w:t>Instellen functionaliteit</w:t>
      </w:r>
    </w:p>
    <w:p w14:paraId="6FF7A6C5" w14:textId="0154A8B0" w:rsidR="00C4693F" w:rsidRDefault="00C4693F" w:rsidP="00885DBF">
      <w:r>
        <w:t>De</w:t>
      </w:r>
      <w:r w:rsidR="00BD5AF4">
        <w:t xml:space="preserve"> voorwaarden</w:t>
      </w:r>
      <w:r>
        <w:t xml:space="preserve"> zijn in te vullen op zowel verzekerings</w:t>
      </w:r>
      <w:r w:rsidRPr="004F1299">
        <w:rPr>
          <w:u w:val="single"/>
        </w:rPr>
        <w:t>product</w:t>
      </w:r>
      <w:r>
        <w:t>niveau (Beheer &gt; Dienstverlening &gt; Verzekeraars &gt; Verzekeringsproducten) als op verzekerings</w:t>
      </w:r>
      <w:r w:rsidRPr="004F1299">
        <w:rPr>
          <w:u w:val="single"/>
        </w:rPr>
        <w:t>polis</w:t>
      </w:r>
      <w:r>
        <w:t>niveau (Werkgeverbeheer &gt; Verzekeringen).</w:t>
      </w:r>
      <w:r w:rsidR="00BD5AF4">
        <w:t xml:space="preserve"> Wanneer de instellingen worden gedaan op productniveau, nemen de bijbehorende polissen deze instellingen over. Zo hoeft de beheerder niet voor elke polis opnieuw de voorwaarden in te stellen. Indien gewenst, zijn de instellingen wel nog aan te passen per polis.</w:t>
      </w:r>
      <w:r w:rsidR="004F1299">
        <w:t xml:space="preserve"> </w:t>
      </w:r>
    </w:p>
    <w:p w14:paraId="7CB2183C" w14:textId="17BF548F" w:rsidR="00C4693F" w:rsidRDefault="00C4693F" w:rsidP="00885DBF"/>
    <w:p w14:paraId="221BC2CD" w14:textId="27D81173" w:rsidR="004F1299" w:rsidRDefault="004F1299" w:rsidP="00885DBF">
      <w:pPr>
        <w:rPr>
          <w:b/>
          <w:bCs/>
        </w:rPr>
      </w:pPr>
      <w:r>
        <w:rPr>
          <w:b/>
          <w:bCs/>
        </w:rPr>
        <w:t>Voorwaarden</w:t>
      </w:r>
    </w:p>
    <w:p w14:paraId="7E36FEA3" w14:textId="124A9FF6" w:rsidR="004F1299" w:rsidRDefault="004F1299" w:rsidP="004F1299">
      <w:pPr>
        <w:pStyle w:val="ListParagraph"/>
      </w:pPr>
      <w:r>
        <w:t>Uitsluiten indien jonger/ouder dan X jaar: werknemers die te jong zijn worden nog niet meegenomen op de polis. Wanneer zij oud genoeg zijn, worden ze automatisch ingesloten op de polis. Werknemers die een bepaalde leeftijd bereiken (in het voorbeeld 65 jaar), worden automatisch uitgesloten van de polis.</w:t>
      </w:r>
    </w:p>
    <w:p w14:paraId="53E75F9B" w14:textId="136335CB" w:rsidR="004F1299" w:rsidRDefault="004F1299" w:rsidP="004F1299">
      <w:pPr>
        <w:pStyle w:val="ListParagraph"/>
      </w:pPr>
      <w:r>
        <w:t xml:space="preserve">Uitsluiten indien ziek bij ingangsdatum polis: werknemers die een lopend ziektetraject hebben op de datum dat de polis ingaat, worden uitgesloten. Wanneer zij &gt;42 dagen hersteld zijn gemeld, zal de uitsluiting vervallen. Dit geldt ook voor werknemers die nog geen 42 </w:t>
      </w:r>
      <w:r w:rsidR="0008081B">
        <w:t xml:space="preserve">dagen </w:t>
      </w:r>
      <w:r>
        <w:t>hersteld zijn vóór de ingangsdatum van de polis.</w:t>
      </w:r>
      <w:r w:rsidR="00993D87">
        <w:t xml:space="preserve"> Let op: bij normale schadelastpolissen geldt al dat hij op basis van eerste ziektedag bepaalt onder welke polis een ziektetraject valt. Maar voor het communiceren van pensioenrechten (en in de toekomst andere typen claims) is het </w:t>
      </w:r>
      <w:r w:rsidR="00993D87">
        <w:lastRenderedPageBreak/>
        <w:t>noodzakelijk explicieter vast te leggen dat iemand nog niet onder een polisdekking valt. Daar is deze functionaliteit voor bedoel</w:t>
      </w:r>
      <w:r w:rsidR="0008081B">
        <w:t>d.</w:t>
      </w:r>
    </w:p>
    <w:p w14:paraId="793FC84D" w14:textId="2C669F8D" w:rsidR="004F1299" w:rsidRDefault="004F1299" w:rsidP="004F1299">
      <w:pPr>
        <w:pStyle w:val="ListParagraph"/>
      </w:pPr>
      <w:r>
        <w:t xml:space="preserve">Uitsluiten indien loon lager dan SV-loon: </w:t>
      </w:r>
      <w:r w:rsidR="00967032">
        <w:t>werknemers die minder verdienen dan het wettelijk vastgestelde maximum loon, worden uitgesloten van deze verzekering.</w:t>
      </w:r>
      <w:r w:rsidR="00967032" w:rsidRPr="00967032">
        <w:t xml:space="preserve"> </w:t>
      </w:r>
      <w:r w:rsidR="00967032">
        <w:t>Dit is van belang bij bijvoorbeeld WIA Excedent verzekeringen. Als ze bij een loonsverhoging toch boven het wettelijke bedrag uitkomen, zullen ze automatisch worden ingesloten op de verzekering.</w:t>
      </w:r>
    </w:p>
    <w:p w14:paraId="6C965282" w14:textId="5DE82E59" w:rsidR="00967032" w:rsidRDefault="00967032" w:rsidP="00D45051"/>
    <w:p w14:paraId="0CDE49E8" w14:textId="35DA0A5B" w:rsidR="00967032" w:rsidRDefault="00D45051" w:rsidP="004F1299">
      <w:pPr>
        <w:ind w:left="360"/>
      </w:pPr>
      <w:r>
        <w:t xml:space="preserve">Als een werknemer automatisch uitgesloten wordt, dan is dit ook zichtbaar op de deelnemerregistratie op de polis. </w:t>
      </w:r>
      <w:r w:rsidR="00967032">
        <w:t>Uitsluitingen kunnen natuurlijk ook nog steeds handmatig plaatsvinden. De handmatige uitsluitingen gaan vóór automatische uitsluiten, dat wil zeggen dat handmatige uitsluitingen nooit overschreven zullen worden. De lijst met uitsluitingsredenen is uitgebreid met ‘Salaris’, ‘Dienstverbandtype’ en ‘Ziekte ingangsdatum polis’:</w:t>
      </w:r>
    </w:p>
    <w:p w14:paraId="709555B2" w14:textId="473B992F" w:rsidR="00B5699B" w:rsidRPr="00B5699B" w:rsidRDefault="00967032" w:rsidP="0089145A">
      <w:pPr>
        <w:ind w:left="360"/>
      </w:pPr>
      <w:r w:rsidRPr="00967032">
        <w:rPr>
          <w:noProof/>
        </w:rPr>
        <w:drawing>
          <wp:inline distT="0" distB="0" distL="0" distR="0" wp14:anchorId="4FD7F6A0" wp14:editId="2B1D3FE7">
            <wp:extent cx="2806810" cy="2279083"/>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13838" cy="2284790"/>
                    </a:xfrm>
                    <a:prstGeom prst="rect">
                      <a:avLst/>
                    </a:prstGeom>
                  </pic:spPr>
                </pic:pic>
              </a:graphicData>
            </a:graphic>
          </wp:inline>
        </w:drawing>
      </w:r>
      <w:r w:rsidR="002A25AE">
        <w:t xml:space="preserve"> </w:t>
      </w:r>
    </w:p>
    <w:sectPr w:rsidR="00B5699B" w:rsidRPr="00B5699B" w:rsidSect="00B5092B">
      <w:headerReference w:type="default" r:id="rId19"/>
      <w:footerReference w:type="default" r:id="rId20"/>
      <w:headerReference w:type="first" r:id="rId21"/>
      <w:footerReference w:type="first" r:id="rId22"/>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9A161" w14:textId="77777777" w:rsidR="00A94F4F" w:rsidRDefault="00A94F4F" w:rsidP="005419E9">
      <w:pPr>
        <w:spacing w:line="240" w:lineRule="auto"/>
      </w:pPr>
      <w:r>
        <w:separator/>
      </w:r>
    </w:p>
  </w:endnote>
  <w:endnote w:type="continuationSeparator" w:id="0">
    <w:p w14:paraId="362949C5" w14:textId="77777777" w:rsidR="00A94F4F" w:rsidRDefault="00A94F4F" w:rsidP="00541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notTrueType/>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notTrueType/>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30E5E847" w:rsidR="00343851" w:rsidRPr="00BD44E4" w:rsidRDefault="00343851" w:rsidP="007F7B31">
          <w:pPr>
            <w:rPr>
              <w:rStyle w:val="SubtleReference"/>
              <w:caps w:val="0"/>
              <w:noProof/>
              <w:color w:val="404040" w:themeColor="text1" w:themeTint="BF"/>
              <w:sz w:val="14"/>
              <w:szCs w:val="14"/>
              <w:lang w:val="en-US"/>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begin"/>
          </w:r>
          <w:r w:rsidRPr="007F7B31">
            <w:rPr>
              <w:rStyle w:val="SubtleReference"/>
              <w:caps w:val="0"/>
              <w:color w:val="404040" w:themeColor="text1" w:themeTint="BF"/>
              <w:sz w:val="14"/>
              <w:szCs w:val="14"/>
              <w:lang w:val="en-US"/>
            </w:rPr>
            <w:instrText xml:space="preserve"> FILENAME   \* MERGEFORMAT </w:instrText>
          </w:r>
          <w:r w:rsidRPr="007F7B31">
            <w:rPr>
              <w:rStyle w:val="SubtleReference"/>
              <w:caps w:val="0"/>
              <w:color w:val="404040" w:themeColor="text1" w:themeTint="BF"/>
              <w:sz w:val="14"/>
              <w:szCs w:val="14"/>
            </w:rPr>
            <w:fldChar w:fldCharType="separate"/>
          </w:r>
          <w:r>
            <w:rPr>
              <w:rStyle w:val="SubtleReference"/>
              <w:caps w:val="0"/>
              <w:noProof/>
              <w:color w:val="404040" w:themeColor="text1" w:themeTint="BF"/>
              <w:sz w:val="14"/>
              <w:szCs w:val="14"/>
              <w:lang w:val="en-US"/>
            </w:rPr>
            <w:t>Aankondiging Xpert Suite release</w:t>
          </w:r>
          <w:r w:rsidR="00BD44E4">
            <w:rPr>
              <w:rStyle w:val="SubtleReference"/>
              <w:caps w:val="0"/>
              <w:noProof/>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end"/>
          </w:r>
          <w:r w:rsidR="00DB6593">
            <w:rPr>
              <w:rStyle w:val="SubtleReference"/>
              <w:caps w:val="0"/>
              <w:color w:val="404040" w:themeColor="text1" w:themeTint="BF"/>
              <w:sz w:val="14"/>
              <w:szCs w:val="14"/>
              <w:lang w:val="en-US"/>
            </w:rPr>
            <w:t>Berlin</w:t>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61312"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455B2" w14:textId="77777777" w:rsidR="00A94F4F" w:rsidRDefault="00A94F4F" w:rsidP="005419E9">
      <w:pPr>
        <w:spacing w:line="240" w:lineRule="auto"/>
      </w:pPr>
      <w:r>
        <w:separator/>
      </w:r>
    </w:p>
  </w:footnote>
  <w:footnote w:type="continuationSeparator" w:id="0">
    <w:p w14:paraId="11E42AE3" w14:textId="77777777" w:rsidR="00A94F4F" w:rsidRDefault="00A94F4F" w:rsidP="005419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64384"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63360"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9573C7"/>
    <w:multiLevelType w:val="hybridMultilevel"/>
    <w:tmpl w:val="DBFE4644"/>
    <w:lvl w:ilvl="0" w:tplc="3FCCFF12">
      <w:numFmt w:val="bullet"/>
      <w:lvlText w:val="•"/>
      <w:lvlJc w:val="left"/>
      <w:pPr>
        <w:ind w:left="1065" w:hanging="705"/>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D33B1A"/>
    <w:multiLevelType w:val="hybridMultilevel"/>
    <w:tmpl w:val="217050C6"/>
    <w:lvl w:ilvl="0" w:tplc="51348872">
      <w:numFmt w:val="bullet"/>
      <w:pStyle w:val="ListParagraph"/>
      <w:lvlText w:val="•"/>
      <w:lvlJc w:val="left"/>
      <w:pPr>
        <w:ind w:left="1065" w:hanging="705"/>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417B36"/>
    <w:multiLevelType w:val="multilevel"/>
    <w:tmpl w:val="93966748"/>
    <w:numStyleLink w:val="Listorderd"/>
  </w:abstractNum>
  <w:abstractNum w:abstractNumId="10"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9322EB5"/>
    <w:multiLevelType w:val="hybridMultilevel"/>
    <w:tmpl w:val="541C0DA2"/>
    <w:lvl w:ilvl="0" w:tplc="3D3472D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6"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8"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9"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782331A"/>
    <w:multiLevelType w:val="multilevel"/>
    <w:tmpl w:val="21B686AA"/>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4"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D544A13"/>
    <w:multiLevelType w:val="hybridMultilevel"/>
    <w:tmpl w:val="4FF85364"/>
    <w:lvl w:ilvl="0" w:tplc="AE4C19AC">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D1F31E3"/>
    <w:multiLevelType w:val="hybridMultilevel"/>
    <w:tmpl w:val="EB14EAC6"/>
    <w:lvl w:ilvl="0" w:tplc="5882CE82">
      <w:start w:val="2"/>
      <w:numFmt w:val="bullet"/>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15"/>
  </w:num>
  <w:num w:numId="3">
    <w:abstractNumId w:val="17"/>
  </w:num>
  <w:num w:numId="4">
    <w:abstractNumId w:val="23"/>
  </w:num>
  <w:num w:numId="5">
    <w:abstractNumId w:val="1"/>
  </w:num>
  <w:num w:numId="6">
    <w:abstractNumId w:val="18"/>
  </w:num>
  <w:num w:numId="7">
    <w:abstractNumId w:val="0"/>
  </w:num>
  <w:num w:numId="8">
    <w:abstractNumId w:val="9"/>
  </w:num>
  <w:num w:numId="9">
    <w:abstractNumId w:val="29"/>
  </w:num>
  <w:num w:numId="10">
    <w:abstractNumId w:val="5"/>
  </w:num>
  <w:num w:numId="11">
    <w:abstractNumId w:val="34"/>
  </w:num>
  <w:num w:numId="12">
    <w:abstractNumId w:val="12"/>
  </w:num>
  <w:num w:numId="13">
    <w:abstractNumId w:val="20"/>
  </w:num>
  <w:num w:numId="14">
    <w:abstractNumId w:val="7"/>
  </w:num>
  <w:num w:numId="15">
    <w:abstractNumId w:val="31"/>
  </w:num>
  <w:num w:numId="16">
    <w:abstractNumId w:val="27"/>
  </w:num>
  <w:num w:numId="17">
    <w:abstractNumId w:val="14"/>
  </w:num>
  <w:num w:numId="18">
    <w:abstractNumId w:val="6"/>
  </w:num>
  <w:num w:numId="19">
    <w:abstractNumId w:val="35"/>
  </w:num>
  <w:num w:numId="20">
    <w:abstractNumId w:val="28"/>
  </w:num>
  <w:num w:numId="21">
    <w:abstractNumId w:val="16"/>
  </w:num>
  <w:num w:numId="22">
    <w:abstractNumId w:val="30"/>
  </w:num>
  <w:num w:numId="23">
    <w:abstractNumId w:val="10"/>
  </w:num>
  <w:num w:numId="24">
    <w:abstractNumId w:val="11"/>
  </w:num>
  <w:num w:numId="25">
    <w:abstractNumId w:val="4"/>
  </w:num>
  <w:num w:numId="26">
    <w:abstractNumId w:val="19"/>
  </w:num>
  <w:num w:numId="27">
    <w:abstractNumId w:val="26"/>
  </w:num>
  <w:num w:numId="28">
    <w:abstractNumId w:val="33"/>
  </w:num>
  <w:num w:numId="29">
    <w:abstractNumId w:val="22"/>
  </w:num>
  <w:num w:numId="30">
    <w:abstractNumId w:val="3"/>
  </w:num>
  <w:num w:numId="31">
    <w:abstractNumId w:val="24"/>
  </w:num>
  <w:num w:numId="32">
    <w:abstractNumId w:val="29"/>
  </w:num>
  <w:num w:numId="33">
    <w:abstractNumId w:val="30"/>
  </w:num>
  <w:num w:numId="34">
    <w:abstractNumId w:val="32"/>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3"/>
  </w:num>
  <w:num w:numId="40">
    <w:abstractNumId w:val="2"/>
  </w:num>
  <w:num w:numId="4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1154B"/>
    <w:rsid w:val="00013EE3"/>
    <w:rsid w:val="00015AEF"/>
    <w:rsid w:val="0001627B"/>
    <w:rsid w:val="00020ECC"/>
    <w:rsid w:val="00022428"/>
    <w:rsid w:val="00023951"/>
    <w:rsid w:val="00030AF6"/>
    <w:rsid w:val="000313EB"/>
    <w:rsid w:val="0003176D"/>
    <w:rsid w:val="000335CC"/>
    <w:rsid w:val="000358F1"/>
    <w:rsid w:val="00036AA4"/>
    <w:rsid w:val="00037C15"/>
    <w:rsid w:val="00041574"/>
    <w:rsid w:val="00041A29"/>
    <w:rsid w:val="000504A6"/>
    <w:rsid w:val="000506E4"/>
    <w:rsid w:val="00051E3C"/>
    <w:rsid w:val="000569A6"/>
    <w:rsid w:val="000606BE"/>
    <w:rsid w:val="00067072"/>
    <w:rsid w:val="00067EDC"/>
    <w:rsid w:val="00072A28"/>
    <w:rsid w:val="0007444A"/>
    <w:rsid w:val="0008081B"/>
    <w:rsid w:val="00081C05"/>
    <w:rsid w:val="000843B5"/>
    <w:rsid w:val="00086070"/>
    <w:rsid w:val="00091F38"/>
    <w:rsid w:val="0009238A"/>
    <w:rsid w:val="00095DA9"/>
    <w:rsid w:val="000A10D6"/>
    <w:rsid w:val="000A31BF"/>
    <w:rsid w:val="000A67B0"/>
    <w:rsid w:val="000B09B4"/>
    <w:rsid w:val="000B3D83"/>
    <w:rsid w:val="000B3FB7"/>
    <w:rsid w:val="000C1A67"/>
    <w:rsid w:val="000C1E6E"/>
    <w:rsid w:val="000C5EF5"/>
    <w:rsid w:val="000C6831"/>
    <w:rsid w:val="000C7AED"/>
    <w:rsid w:val="000D0D59"/>
    <w:rsid w:val="000D4C26"/>
    <w:rsid w:val="000D75C2"/>
    <w:rsid w:val="000E4F4D"/>
    <w:rsid w:val="000F1ECC"/>
    <w:rsid w:val="000F3287"/>
    <w:rsid w:val="00100D4B"/>
    <w:rsid w:val="00104082"/>
    <w:rsid w:val="0010449D"/>
    <w:rsid w:val="0010743F"/>
    <w:rsid w:val="00116291"/>
    <w:rsid w:val="00116C47"/>
    <w:rsid w:val="00117B27"/>
    <w:rsid w:val="0012402A"/>
    <w:rsid w:val="00127461"/>
    <w:rsid w:val="00131DEF"/>
    <w:rsid w:val="001336ED"/>
    <w:rsid w:val="00134BB9"/>
    <w:rsid w:val="001350F8"/>
    <w:rsid w:val="00137FF4"/>
    <w:rsid w:val="0014025C"/>
    <w:rsid w:val="00143144"/>
    <w:rsid w:val="001445B6"/>
    <w:rsid w:val="00145944"/>
    <w:rsid w:val="0014717B"/>
    <w:rsid w:val="0015473B"/>
    <w:rsid w:val="00155617"/>
    <w:rsid w:val="00160F81"/>
    <w:rsid w:val="00162A35"/>
    <w:rsid w:val="00163EC7"/>
    <w:rsid w:val="00165EFC"/>
    <w:rsid w:val="00167864"/>
    <w:rsid w:val="0017508D"/>
    <w:rsid w:val="00177885"/>
    <w:rsid w:val="00192649"/>
    <w:rsid w:val="00193A9D"/>
    <w:rsid w:val="00193CF7"/>
    <w:rsid w:val="00195132"/>
    <w:rsid w:val="001A3978"/>
    <w:rsid w:val="001A5EF5"/>
    <w:rsid w:val="001A6020"/>
    <w:rsid w:val="001A7820"/>
    <w:rsid w:val="001B078C"/>
    <w:rsid w:val="001C001D"/>
    <w:rsid w:val="001C33DC"/>
    <w:rsid w:val="001C3E9C"/>
    <w:rsid w:val="001D2194"/>
    <w:rsid w:val="001D3EF3"/>
    <w:rsid w:val="001D6EAE"/>
    <w:rsid w:val="001D70C6"/>
    <w:rsid w:val="001D7495"/>
    <w:rsid w:val="001E3CAB"/>
    <w:rsid w:val="001E41E2"/>
    <w:rsid w:val="001F67A4"/>
    <w:rsid w:val="0020049B"/>
    <w:rsid w:val="00206C19"/>
    <w:rsid w:val="00211B93"/>
    <w:rsid w:val="00215C3B"/>
    <w:rsid w:val="00222D65"/>
    <w:rsid w:val="002265F5"/>
    <w:rsid w:val="0023700B"/>
    <w:rsid w:val="0024385C"/>
    <w:rsid w:val="00245F2E"/>
    <w:rsid w:val="0024663E"/>
    <w:rsid w:val="00255608"/>
    <w:rsid w:val="002561F1"/>
    <w:rsid w:val="002573AC"/>
    <w:rsid w:val="00260A46"/>
    <w:rsid w:val="002623FC"/>
    <w:rsid w:val="00264708"/>
    <w:rsid w:val="002735B5"/>
    <w:rsid w:val="002739E4"/>
    <w:rsid w:val="00274E35"/>
    <w:rsid w:val="00275A26"/>
    <w:rsid w:val="00275B4A"/>
    <w:rsid w:val="00275E3A"/>
    <w:rsid w:val="0027795B"/>
    <w:rsid w:val="002838AF"/>
    <w:rsid w:val="00286901"/>
    <w:rsid w:val="00293B58"/>
    <w:rsid w:val="002A25AE"/>
    <w:rsid w:val="002A6091"/>
    <w:rsid w:val="002B0963"/>
    <w:rsid w:val="002D1B79"/>
    <w:rsid w:val="002E7E29"/>
    <w:rsid w:val="002F19CD"/>
    <w:rsid w:val="002F21B8"/>
    <w:rsid w:val="002F3415"/>
    <w:rsid w:val="002F492C"/>
    <w:rsid w:val="002F6E7A"/>
    <w:rsid w:val="002F776B"/>
    <w:rsid w:val="00301610"/>
    <w:rsid w:val="0030161D"/>
    <w:rsid w:val="0030719D"/>
    <w:rsid w:val="00310492"/>
    <w:rsid w:val="00310DD2"/>
    <w:rsid w:val="00312AE8"/>
    <w:rsid w:val="0031567B"/>
    <w:rsid w:val="00317618"/>
    <w:rsid w:val="0032186B"/>
    <w:rsid w:val="003221E9"/>
    <w:rsid w:val="003236FB"/>
    <w:rsid w:val="0032496F"/>
    <w:rsid w:val="00332EA2"/>
    <w:rsid w:val="003332A4"/>
    <w:rsid w:val="00342896"/>
    <w:rsid w:val="00342A72"/>
    <w:rsid w:val="00343851"/>
    <w:rsid w:val="00344987"/>
    <w:rsid w:val="00346C5B"/>
    <w:rsid w:val="0034714F"/>
    <w:rsid w:val="00350796"/>
    <w:rsid w:val="0035160B"/>
    <w:rsid w:val="00352C14"/>
    <w:rsid w:val="00353D42"/>
    <w:rsid w:val="00355674"/>
    <w:rsid w:val="0035674E"/>
    <w:rsid w:val="003665D1"/>
    <w:rsid w:val="00374209"/>
    <w:rsid w:val="00374C16"/>
    <w:rsid w:val="00380636"/>
    <w:rsid w:val="003976D8"/>
    <w:rsid w:val="003A1558"/>
    <w:rsid w:val="003A4354"/>
    <w:rsid w:val="003A76F9"/>
    <w:rsid w:val="003B4C7F"/>
    <w:rsid w:val="003B5DF4"/>
    <w:rsid w:val="003B7B1E"/>
    <w:rsid w:val="003C43E9"/>
    <w:rsid w:val="003C4416"/>
    <w:rsid w:val="003C5266"/>
    <w:rsid w:val="003C64DC"/>
    <w:rsid w:val="003D39E5"/>
    <w:rsid w:val="003D5A89"/>
    <w:rsid w:val="003D7F09"/>
    <w:rsid w:val="003D7F4C"/>
    <w:rsid w:val="003E1514"/>
    <w:rsid w:val="003E2298"/>
    <w:rsid w:val="003E6629"/>
    <w:rsid w:val="003F4B56"/>
    <w:rsid w:val="00401743"/>
    <w:rsid w:val="004041FA"/>
    <w:rsid w:val="0041040B"/>
    <w:rsid w:val="00416238"/>
    <w:rsid w:val="00417DAF"/>
    <w:rsid w:val="00421929"/>
    <w:rsid w:val="004259D0"/>
    <w:rsid w:val="00433884"/>
    <w:rsid w:val="00437FEA"/>
    <w:rsid w:val="004465BE"/>
    <w:rsid w:val="0045433C"/>
    <w:rsid w:val="0046018A"/>
    <w:rsid w:val="004701D1"/>
    <w:rsid w:val="004720BF"/>
    <w:rsid w:val="00472756"/>
    <w:rsid w:val="00474CEC"/>
    <w:rsid w:val="004906D6"/>
    <w:rsid w:val="00492159"/>
    <w:rsid w:val="004944FC"/>
    <w:rsid w:val="004A27A0"/>
    <w:rsid w:val="004A3066"/>
    <w:rsid w:val="004A3C8D"/>
    <w:rsid w:val="004A469D"/>
    <w:rsid w:val="004B2C74"/>
    <w:rsid w:val="004C2A27"/>
    <w:rsid w:val="004C4BE8"/>
    <w:rsid w:val="004C4FDE"/>
    <w:rsid w:val="004C670E"/>
    <w:rsid w:val="004C7352"/>
    <w:rsid w:val="004D4F0D"/>
    <w:rsid w:val="004E5B0A"/>
    <w:rsid w:val="004F0799"/>
    <w:rsid w:val="004F1299"/>
    <w:rsid w:val="004F33C8"/>
    <w:rsid w:val="004F4FE9"/>
    <w:rsid w:val="004F5148"/>
    <w:rsid w:val="004F7C09"/>
    <w:rsid w:val="004F7CD0"/>
    <w:rsid w:val="0050066C"/>
    <w:rsid w:val="00502C6C"/>
    <w:rsid w:val="005046D3"/>
    <w:rsid w:val="00525684"/>
    <w:rsid w:val="00526B21"/>
    <w:rsid w:val="0052756B"/>
    <w:rsid w:val="00536499"/>
    <w:rsid w:val="005367A3"/>
    <w:rsid w:val="005419E9"/>
    <w:rsid w:val="005439A2"/>
    <w:rsid w:val="00543B1E"/>
    <w:rsid w:val="005447FF"/>
    <w:rsid w:val="00544D6C"/>
    <w:rsid w:val="00551E5B"/>
    <w:rsid w:val="005521DD"/>
    <w:rsid w:val="00552C58"/>
    <w:rsid w:val="00553FE2"/>
    <w:rsid w:val="00562A4F"/>
    <w:rsid w:val="00563910"/>
    <w:rsid w:val="00564DEE"/>
    <w:rsid w:val="00565880"/>
    <w:rsid w:val="00576DAA"/>
    <w:rsid w:val="00584BEF"/>
    <w:rsid w:val="005922C1"/>
    <w:rsid w:val="005946A3"/>
    <w:rsid w:val="005A4810"/>
    <w:rsid w:val="005A4D9B"/>
    <w:rsid w:val="005B1D79"/>
    <w:rsid w:val="005B2DFF"/>
    <w:rsid w:val="005B6063"/>
    <w:rsid w:val="005C4766"/>
    <w:rsid w:val="005D0CF7"/>
    <w:rsid w:val="005D66DC"/>
    <w:rsid w:val="005E0B1C"/>
    <w:rsid w:val="005E1278"/>
    <w:rsid w:val="005E3A74"/>
    <w:rsid w:val="005E49F7"/>
    <w:rsid w:val="005E6407"/>
    <w:rsid w:val="005E6D06"/>
    <w:rsid w:val="005E7FC8"/>
    <w:rsid w:val="005F1BB2"/>
    <w:rsid w:val="005F2418"/>
    <w:rsid w:val="005F4144"/>
    <w:rsid w:val="005F4857"/>
    <w:rsid w:val="005F4D92"/>
    <w:rsid w:val="00602502"/>
    <w:rsid w:val="00603468"/>
    <w:rsid w:val="00607561"/>
    <w:rsid w:val="00611E39"/>
    <w:rsid w:val="006124CE"/>
    <w:rsid w:val="00613778"/>
    <w:rsid w:val="00615430"/>
    <w:rsid w:val="0061798A"/>
    <w:rsid w:val="00617AF1"/>
    <w:rsid w:val="006208B0"/>
    <w:rsid w:val="006220A7"/>
    <w:rsid w:val="006262B4"/>
    <w:rsid w:val="00637CFE"/>
    <w:rsid w:val="006420A6"/>
    <w:rsid w:val="006459AF"/>
    <w:rsid w:val="00650F5B"/>
    <w:rsid w:val="00662E2F"/>
    <w:rsid w:val="00674C15"/>
    <w:rsid w:val="00674CAE"/>
    <w:rsid w:val="00681BA5"/>
    <w:rsid w:val="0068632B"/>
    <w:rsid w:val="00694376"/>
    <w:rsid w:val="0069713A"/>
    <w:rsid w:val="006979ED"/>
    <w:rsid w:val="006A7924"/>
    <w:rsid w:val="006B1FC1"/>
    <w:rsid w:val="006B4AFE"/>
    <w:rsid w:val="006B5B48"/>
    <w:rsid w:val="006C1993"/>
    <w:rsid w:val="006C387F"/>
    <w:rsid w:val="006D1336"/>
    <w:rsid w:val="006D2A3E"/>
    <w:rsid w:val="006D42E6"/>
    <w:rsid w:val="006D690C"/>
    <w:rsid w:val="006E1A04"/>
    <w:rsid w:val="006E500D"/>
    <w:rsid w:val="006F6B63"/>
    <w:rsid w:val="00701306"/>
    <w:rsid w:val="00703A8C"/>
    <w:rsid w:val="00706AE2"/>
    <w:rsid w:val="0070719D"/>
    <w:rsid w:val="00711D03"/>
    <w:rsid w:val="0071357D"/>
    <w:rsid w:val="00714AC2"/>
    <w:rsid w:val="00715DB4"/>
    <w:rsid w:val="00717A4B"/>
    <w:rsid w:val="00722297"/>
    <w:rsid w:val="00722F1F"/>
    <w:rsid w:val="00724F49"/>
    <w:rsid w:val="0072729C"/>
    <w:rsid w:val="007326E5"/>
    <w:rsid w:val="00736EFE"/>
    <w:rsid w:val="00737B2C"/>
    <w:rsid w:val="00740A76"/>
    <w:rsid w:val="007439A7"/>
    <w:rsid w:val="007509DF"/>
    <w:rsid w:val="00753C1F"/>
    <w:rsid w:val="0075528F"/>
    <w:rsid w:val="00755A90"/>
    <w:rsid w:val="007602D9"/>
    <w:rsid w:val="00770793"/>
    <w:rsid w:val="0077441C"/>
    <w:rsid w:val="00777FC8"/>
    <w:rsid w:val="00784ECB"/>
    <w:rsid w:val="00792DF5"/>
    <w:rsid w:val="00793502"/>
    <w:rsid w:val="00795A0B"/>
    <w:rsid w:val="007A67CA"/>
    <w:rsid w:val="007A683A"/>
    <w:rsid w:val="007A7EEA"/>
    <w:rsid w:val="007B6279"/>
    <w:rsid w:val="007C1552"/>
    <w:rsid w:val="007C3BB9"/>
    <w:rsid w:val="007C5211"/>
    <w:rsid w:val="007C63A4"/>
    <w:rsid w:val="007D321C"/>
    <w:rsid w:val="007D3C6E"/>
    <w:rsid w:val="007E32B2"/>
    <w:rsid w:val="007E4218"/>
    <w:rsid w:val="007E63E3"/>
    <w:rsid w:val="007F5280"/>
    <w:rsid w:val="007F6161"/>
    <w:rsid w:val="007F7B31"/>
    <w:rsid w:val="00804169"/>
    <w:rsid w:val="008041A7"/>
    <w:rsid w:val="00810D25"/>
    <w:rsid w:val="0081259D"/>
    <w:rsid w:val="00814D6C"/>
    <w:rsid w:val="00817735"/>
    <w:rsid w:val="008219F8"/>
    <w:rsid w:val="00826FBA"/>
    <w:rsid w:val="00840C35"/>
    <w:rsid w:val="0084201C"/>
    <w:rsid w:val="00844DD9"/>
    <w:rsid w:val="008469A4"/>
    <w:rsid w:val="00846F1D"/>
    <w:rsid w:val="0085123A"/>
    <w:rsid w:val="0085265A"/>
    <w:rsid w:val="00852767"/>
    <w:rsid w:val="00855506"/>
    <w:rsid w:val="008571C5"/>
    <w:rsid w:val="00861418"/>
    <w:rsid w:val="008666A8"/>
    <w:rsid w:val="00866C3C"/>
    <w:rsid w:val="0087315C"/>
    <w:rsid w:val="008735E6"/>
    <w:rsid w:val="0087684D"/>
    <w:rsid w:val="008774D7"/>
    <w:rsid w:val="00877804"/>
    <w:rsid w:val="00877EF2"/>
    <w:rsid w:val="00881370"/>
    <w:rsid w:val="00885DBF"/>
    <w:rsid w:val="0089145A"/>
    <w:rsid w:val="00892CE0"/>
    <w:rsid w:val="00896630"/>
    <w:rsid w:val="008A0AB1"/>
    <w:rsid w:val="008A252E"/>
    <w:rsid w:val="008A2A76"/>
    <w:rsid w:val="008A502B"/>
    <w:rsid w:val="008B081B"/>
    <w:rsid w:val="008B085E"/>
    <w:rsid w:val="008B1FA2"/>
    <w:rsid w:val="008B2D81"/>
    <w:rsid w:val="008B3B67"/>
    <w:rsid w:val="008B54C9"/>
    <w:rsid w:val="008B6F9E"/>
    <w:rsid w:val="008C0460"/>
    <w:rsid w:val="008C0577"/>
    <w:rsid w:val="008C0E8C"/>
    <w:rsid w:val="008C2B7E"/>
    <w:rsid w:val="008C41D8"/>
    <w:rsid w:val="008C4F7C"/>
    <w:rsid w:val="008D7C63"/>
    <w:rsid w:val="008F6FD4"/>
    <w:rsid w:val="008F78D5"/>
    <w:rsid w:val="009037E8"/>
    <w:rsid w:val="00911C2F"/>
    <w:rsid w:val="00915C77"/>
    <w:rsid w:val="00916432"/>
    <w:rsid w:val="0091656B"/>
    <w:rsid w:val="0091677E"/>
    <w:rsid w:val="0092025C"/>
    <w:rsid w:val="00922F14"/>
    <w:rsid w:val="00923E15"/>
    <w:rsid w:val="00935906"/>
    <w:rsid w:val="00940995"/>
    <w:rsid w:val="009419C3"/>
    <w:rsid w:val="00945235"/>
    <w:rsid w:val="00945E1C"/>
    <w:rsid w:val="00946A7F"/>
    <w:rsid w:val="00951246"/>
    <w:rsid w:val="009513A1"/>
    <w:rsid w:val="00951D96"/>
    <w:rsid w:val="009540FD"/>
    <w:rsid w:val="00955039"/>
    <w:rsid w:val="009555AD"/>
    <w:rsid w:val="00955EA6"/>
    <w:rsid w:val="00956C02"/>
    <w:rsid w:val="0096070F"/>
    <w:rsid w:val="009621DA"/>
    <w:rsid w:val="009644DB"/>
    <w:rsid w:val="00967032"/>
    <w:rsid w:val="009672B1"/>
    <w:rsid w:val="009712A4"/>
    <w:rsid w:val="00971C78"/>
    <w:rsid w:val="009738F8"/>
    <w:rsid w:val="00974680"/>
    <w:rsid w:val="00976C6B"/>
    <w:rsid w:val="00977164"/>
    <w:rsid w:val="00990C1A"/>
    <w:rsid w:val="009931C5"/>
    <w:rsid w:val="00993D87"/>
    <w:rsid w:val="009B6EF3"/>
    <w:rsid w:val="009B717E"/>
    <w:rsid w:val="009B7362"/>
    <w:rsid w:val="009C1737"/>
    <w:rsid w:val="009C78F2"/>
    <w:rsid w:val="009D22E9"/>
    <w:rsid w:val="009D2532"/>
    <w:rsid w:val="009D5E88"/>
    <w:rsid w:val="009D781C"/>
    <w:rsid w:val="009E21FB"/>
    <w:rsid w:val="009E3D8A"/>
    <w:rsid w:val="009F793F"/>
    <w:rsid w:val="00A10064"/>
    <w:rsid w:val="00A173F3"/>
    <w:rsid w:val="00A22541"/>
    <w:rsid w:val="00A2336F"/>
    <w:rsid w:val="00A23B17"/>
    <w:rsid w:val="00A23FE7"/>
    <w:rsid w:val="00A36D8F"/>
    <w:rsid w:val="00A41E53"/>
    <w:rsid w:val="00A428E1"/>
    <w:rsid w:val="00A45232"/>
    <w:rsid w:val="00A47EAA"/>
    <w:rsid w:val="00A52915"/>
    <w:rsid w:val="00A52C48"/>
    <w:rsid w:val="00A52CC2"/>
    <w:rsid w:val="00A52D55"/>
    <w:rsid w:val="00A53066"/>
    <w:rsid w:val="00A56E5E"/>
    <w:rsid w:val="00A60F17"/>
    <w:rsid w:val="00A637D3"/>
    <w:rsid w:val="00A72BB0"/>
    <w:rsid w:val="00A734FD"/>
    <w:rsid w:val="00A7546C"/>
    <w:rsid w:val="00A772C7"/>
    <w:rsid w:val="00A77EB7"/>
    <w:rsid w:val="00A838D9"/>
    <w:rsid w:val="00A865E4"/>
    <w:rsid w:val="00A931E6"/>
    <w:rsid w:val="00A93F67"/>
    <w:rsid w:val="00A94F4F"/>
    <w:rsid w:val="00A95117"/>
    <w:rsid w:val="00AA1448"/>
    <w:rsid w:val="00AA3E36"/>
    <w:rsid w:val="00AA6E49"/>
    <w:rsid w:val="00AA71E5"/>
    <w:rsid w:val="00AB1AB3"/>
    <w:rsid w:val="00AC12CD"/>
    <w:rsid w:val="00AD4A2B"/>
    <w:rsid w:val="00AD5691"/>
    <w:rsid w:val="00AD7CCB"/>
    <w:rsid w:val="00AF1E10"/>
    <w:rsid w:val="00AF520E"/>
    <w:rsid w:val="00AF5483"/>
    <w:rsid w:val="00AF68E3"/>
    <w:rsid w:val="00B030C2"/>
    <w:rsid w:val="00B05DE9"/>
    <w:rsid w:val="00B05FCF"/>
    <w:rsid w:val="00B07BC0"/>
    <w:rsid w:val="00B1254F"/>
    <w:rsid w:val="00B24718"/>
    <w:rsid w:val="00B25DB2"/>
    <w:rsid w:val="00B262E9"/>
    <w:rsid w:val="00B321C1"/>
    <w:rsid w:val="00B34E0E"/>
    <w:rsid w:val="00B41BF2"/>
    <w:rsid w:val="00B46174"/>
    <w:rsid w:val="00B5092B"/>
    <w:rsid w:val="00B5699B"/>
    <w:rsid w:val="00B619E2"/>
    <w:rsid w:val="00B629F5"/>
    <w:rsid w:val="00B63494"/>
    <w:rsid w:val="00B64000"/>
    <w:rsid w:val="00B65567"/>
    <w:rsid w:val="00B8125A"/>
    <w:rsid w:val="00B95714"/>
    <w:rsid w:val="00B96361"/>
    <w:rsid w:val="00B96F53"/>
    <w:rsid w:val="00B974CD"/>
    <w:rsid w:val="00BA4D8C"/>
    <w:rsid w:val="00BA51FE"/>
    <w:rsid w:val="00BA5E86"/>
    <w:rsid w:val="00BB6B7E"/>
    <w:rsid w:val="00BB7760"/>
    <w:rsid w:val="00BB78B0"/>
    <w:rsid w:val="00BC0218"/>
    <w:rsid w:val="00BC3FDC"/>
    <w:rsid w:val="00BC5FC0"/>
    <w:rsid w:val="00BC699B"/>
    <w:rsid w:val="00BC7190"/>
    <w:rsid w:val="00BC7762"/>
    <w:rsid w:val="00BD0AB7"/>
    <w:rsid w:val="00BD2948"/>
    <w:rsid w:val="00BD3A40"/>
    <w:rsid w:val="00BD44E4"/>
    <w:rsid w:val="00BD5AF4"/>
    <w:rsid w:val="00BD693E"/>
    <w:rsid w:val="00BD756C"/>
    <w:rsid w:val="00BE0C9B"/>
    <w:rsid w:val="00BE3388"/>
    <w:rsid w:val="00BE39DE"/>
    <w:rsid w:val="00BF2C91"/>
    <w:rsid w:val="00BF45CB"/>
    <w:rsid w:val="00BF46BB"/>
    <w:rsid w:val="00BF54A4"/>
    <w:rsid w:val="00C02083"/>
    <w:rsid w:val="00C02348"/>
    <w:rsid w:val="00C0443C"/>
    <w:rsid w:val="00C1290C"/>
    <w:rsid w:val="00C13A8B"/>
    <w:rsid w:val="00C1550E"/>
    <w:rsid w:val="00C1579E"/>
    <w:rsid w:val="00C157DB"/>
    <w:rsid w:val="00C20EF9"/>
    <w:rsid w:val="00C21350"/>
    <w:rsid w:val="00C261FF"/>
    <w:rsid w:val="00C40471"/>
    <w:rsid w:val="00C4273E"/>
    <w:rsid w:val="00C4567D"/>
    <w:rsid w:val="00C4693F"/>
    <w:rsid w:val="00C46C71"/>
    <w:rsid w:val="00C50C46"/>
    <w:rsid w:val="00C56296"/>
    <w:rsid w:val="00C6280A"/>
    <w:rsid w:val="00C641B1"/>
    <w:rsid w:val="00C65395"/>
    <w:rsid w:val="00C7299E"/>
    <w:rsid w:val="00C73FF7"/>
    <w:rsid w:val="00C74342"/>
    <w:rsid w:val="00C74530"/>
    <w:rsid w:val="00C8425B"/>
    <w:rsid w:val="00C867C0"/>
    <w:rsid w:val="00C97666"/>
    <w:rsid w:val="00CA6892"/>
    <w:rsid w:val="00CA74C0"/>
    <w:rsid w:val="00CB0391"/>
    <w:rsid w:val="00CC2883"/>
    <w:rsid w:val="00CC2F95"/>
    <w:rsid w:val="00CC347C"/>
    <w:rsid w:val="00CC348F"/>
    <w:rsid w:val="00CC5381"/>
    <w:rsid w:val="00CC5ACB"/>
    <w:rsid w:val="00CD149E"/>
    <w:rsid w:val="00CD78EB"/>
    <w:rsid w:val="00CF02B8"/>
    <w:rsid w:val="00CF0C70"/>
    <w:rsid w:val="00CF311F"/>
    <w:rsid w:val="00D030E4"/>
    <w:rsid w:val="00D0599A"/>
    <w:rsid w:val="00D06A0C"/>
    <w:rsid w:val="00D06E61"/>
    <w:rsid w:val="00D14569"/>
    <w:rsid w:val="00D20405"/>
    <w:rsid w:val="00D2439B"/>
    <w:rsid w:val="00D31391"/>
    <w:rsid w:val="00D319E8"/>
    <w:rsid w:val="00D33BE2"/>
    <w:rsid w:val="00D35074"/>
    <w:rsid w:val="00D41BD1"/>
    <w:rsid w:val="00D45051"/>
    <w:rsid w:val="00D501A4"/>
    <w:rsid w:val="00D50805"/>
    <w:rsid w:val="00D51290"/>
    <w:rsid w:val="00D572DF"/>
    <w:rsid w:val="00D76271"/>
    <w:rsid w:val="00D77CE6"/>
    <w:rsid w:val="00D85B36"/>
    <w:rsid w:val="00D94635"/>
    <w:rsid w:val="00D9532E"/>
    <w:rsid w:val="00DA451E"/>
    <w:rsid w:val="00DB44E6"/>
    <w:rsid w:val="00DB6593"/>
    <w:rsid w:val="00DC7610"/>
    <w:rsid w:val="00DC7A46"/>
    <w:rsid w:val="00DD275B"/>
    <w:rsid w:val="00DE3432"/>
    <w:rsid w:val="00DE53C4"/>
    <w:rsid w:val="00DF1DA3"/>
    <w:rsid w:val="00DF5366"/>
    <w:rsid w:val="00DF7564"/>
    <w:rsid w:val="00E0006A"/>
    <w:rsid w:val="00E00F16"/>
    <w:rsid w:val="00E01B82"/>
    <w:rsid w:val="00E021C6"/>
    <w:rsid w:val="00E070A6"/>
    <w:rsid w:val="00E112C0"/>
    <w:rsid w:val="00E12200"/>
    <w:rsid w:val="00E33DA4"/>
    <w:rsid w:val="00E47C52"/>
    <w:rsid w:val="00E53718"/>
    <w:rsid w:val="00E55E43"/>
    <w:rsid w:val="00E608DE"/>
    <w:rsid w:val="00E630BF"/>
    <w:rsid w:val="00E67B50"/>
    <w:rsid w:val="00E72FDB"/>
    <w:rsid w:val="00E7521C"/>
    <w:rsid w:val="00E8035F"/>
    <w:rsid w:val="00E82320"/>
    <w:rsid w:val="00E82503"/>
    <w:rsid w:val="00E83BAE"/>
    <w:rsid w:val="00E908E7"/>
    <w:rsid w:val="00E97D80"/>
    <w:rsid w:val="00EA1395"/>
    <w:rsid w:val="00EA1AB8"/>
    <w:rsid w:val="00EA1E2B"/>
    <w:rsid w:val="00EB1717"/>
    <w:rsid w:val="00EB4CF2"/>
    <w:rsid w:val="00EB5DCE"/>
    <w:rsid w:val="00EC09B6"/>
    <w:rsid w:val="00EC27B9"/>
    <w:rsid w:val="00EC4B83"/>
    <w:rsid w:val="00EC54DE"/>
    <w:rsid w:val="00ED0F5F"/>
    <w:rsid w:val="00ED33EF"/>
    <w:rsid w:val="00ED3E33"/>
    <w:rsid w:val="00ED4C13"/>
    <w:rsid w:val="00ED556A"/>
    <w:rsid w:val="00ED5F93"/>
    <w:rsid w:val="00ED671B"/>
    <w:rsid w:val="00EE0932"/>
    <w:rsid w:val="00EF4AC9"/>
    <w:rsid w:val="00F0053C"/>
    <w:rsid w:val="00F032CF"/>
    <w:rsid w:val="00F21542"/>
    <w:rsid w:val="00F215E6"/>
    <w:rsid w:val="00F23939"/>
    <w:rsid w:val="00F3009F"/>
    <w:rsid w:val="00F3768D"/>
    <w:rsid w:val="00F42DE2"/>
    <w:rsid w:val="00F436CD"/>
    <w:rsid w:val="00F468AD"/>
    <w:rsid w:val="00F56D25"/>
    <w:rsid w:val="00F61143"/>
    <w:rsid w:val="00F65BC0"/>
    <w:rsid w:val="00F76A40"/>
    <w:rsid w:val="00F80759"/>
    <w:rsid w:val="00F808C0"/>
    <w:rsid w:val="00F90E98"/>
    <w:rsid w:val="00F91CD3"/>
    <w:rsid w:val="00F93165"/>
    <w:rsid w:val="00F937A8"/>
    <w:rsid w:val="00FA003E"/>
    <w:rsid w:val="00FA2240"/>
    <w:rsid w:val="00FA36FD"/>
    <w:rsid w:val="00FB09B6"/>
    <w:rsid w:val="00FB2780"/>
    <w:rsid w:val="00FB75F3"/>
    <w:rsid w:val="00FC2B04"/>
    <w:rsid w:val="00FC3A20"/>
    <w:rsid w:val="00FC5436"/>
    <w:rsid w:val="00FC61E9"/>
    <w:rsid w:val="00FC6929"/>
    <w:rsid w:val="00FD576D"/>
    <w:rsid w:val="00FD6B8E"/>
    <w:rsid w:val="00FE10E9"/>
    <w:rsid w:val="00FE1769"/>
    <w:rsid w:val="00FE1C5D"/>
    <w:rsid w:val="00FE1D1D"/>
    <w:rsid w:val="00FE30A3"/>
    <w:rsid w:val="00FE3F78"/>
    <w:rsid w:val="00FE52A7"/>
    <w:rsid w:val="00FE539C"/>
    <w:rsid w:val="00FF28B8"/>
    <w:rsid w:val="00FF7382"/>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3A"/>
    <w:pPr>
      <w:spacing w:after="0" w:line="276" w:lineRule="auto"/>
    </w:pPr>
  </w:style>
  <w:style w:type="paragraph" w:styleId="Heading1">
    <w:name w:val="heading 1"/>
    <w:basedOn w:val="Normal"/>
    <w:next w:val="Normal"/>
    <w:link w:val="Heading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Heading5">
    <w:name w:val="heading 5"/>
    <w:basedOn w:val="Normal"/>
    <w:next w:val="Normal"/>
    <w:link w:val="Heading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Heading8">
    <w:name w:val="heading 8"/>
    <w:basedOn w:val="Normal"/>
    <w:next w:val="Normal"/>
    <w:link w:val="Heading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4F1299"/>
    <w:pPr>
      <w:numPr>
        <w:numId w:val="41"/>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val="0"/>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val="0"/>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val="0"/>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val="0"/>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AB1AB3"/>
    <w:pPr>
      <w:tabs>
        <w:tab w:val="left" w:pos="1843"/>
        <w:tab w:val="right" w:pos="9016"/>
      </w:tabs>
      <w:ind w:firstLine="709"/>
    </w:pPr>
    <w:rPr>
      <w:iCs w:val="0"/>
    </w:rPr>
  </w:style>
  <w:style w:type="paragraph" w:styleId="TOC3">
    <w:name w:val="toc 3"/>
    <w:basedOn w:val="Normal"/>
    <w:next w:val="Normal"/>
    <w:autoRedefine/>
    <w:uiPriority w:val="39"/>
    <w:unhideWhenUsed/>
    <w:rsid w:val="00AB1AB3"/>
    <w:pPr>
      <w:tabs>
        <w:tab w:val="left" w:pos="1600"/>
        <w:tab w:val="left" w:pos="2005"/>
        <w:tab w:val="right" w:pos="9016"/>
      </w:tabs>
      <w:ind w:left="2459" w:hanging="616"/>
    </w:pPr>
    <w:rPr>
      <w:noProof/>
      <w:sz w:val="16"/>
      <w:szCs w:val="12"/>
    </w:rPr>
  </w:style>
  <w:style w:type="paragraph" w:styleId="TOC4">
    <w:name w:val="toc 4"/>
    <w:basedOn w:val="Normal"/>
    <w:next w:val="Normal"/>
    <w:autoRedefine/>
    <w:uiPriority w:val="39"/>
    <w:unhideWhenUsed/>
    <w:rsid w:val="0089145A"/>
    <w:pPr>
      <w:tabs>
        <w:tab w:val="left" w:pos="2459"/>
        <w:tab w:val="right" w:pos="9016"/>
      </w:tabs>
      <w:ind w:left="1843"/>
    </w:pPr>
    <w:rPr>
      <w:rFonts w:asciiTheme="minorHAnsi" w:hAnsiTheme="minorHAnsi"/>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4F1299"/>
  </w:style>
  <w:style w:type="paragraph" w:customStyle="1" w:styleId="OtherSide-Listbullets">
    <w:name w:val="OtherSide - List bullets"/>
    <w:basedOn w:val="ListParagraph"/>
    <w:next w:val="List"/>
    <w:qFormat/>
    <w:rsid w:val="0069713A"/>
    <w:pPr>
      <w:numPr>
        <w:numId w:val="6"/>
      </w:numPr>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numPr>
        <w:numId w:val="8"/>
      </w:numPr>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5ACB9D480C45628E713CFF7492931D"/>
        <w:category>
          <w:name w:val="General"/>
          <w:gallery w:val="placeholder"/>
        </w:category>
        <w:types>
          <w:type w:val="bbPlcHdr"/>
        </w:types>
        <w:behaviors>
          <w:behavior w:val="content"/>
        </w:behaviors>
        <w:guid w:val="{FED4F8C7-F08A-47F0-9626-7B3B3CA2EDF5}"/>
      </w:docPartPr>
      <w:docPartBody>
        <w:p w:rsidR="00C56449" w:rsidRDefault="00C56449">
          <w:pPr>
            <w:pStyle w:val="1D5ACB9D480C45628E713CFF7492931D"/>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notTrueType/>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notTrueType/>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433788"/>
    <w:rsid w:val="004D6F3B"/>
    <w:rsid w:val="005764DA"/>
    <w:rsid w:val="00683E49"/>
    <w:rsid w:val="00715658"/>
    <w:rsid w:val="007855B4"/>
    <w:rsid w:val="007A07EF"/>
    <w:rsid w:val="00A437ED"/>
    <w:rsid w:val="00B12222"/>
    <w:rsid w:val="00C56449"/>
    <w:rsid w:val="00D85C29"/>
    <w:rsid w:val="00E16391"/>
    <w:rsid w:val="00E50E90"/>
    <w:rsid w:val="00FC294D"/>
    <w:rsid w:val="00FF3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5ACB9D480C45628E713CFF7492931D">
    <w:name w:val="1D5ACB9D480C45628E713CFF74929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1805</Words>
  <Characters>9931</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Suzanne Mertens</cp:lastModifiedBy>
  <cp:revision>2</cp:revision>
  <cp:lastPrinted>2018-03-09T12:04:00Z</cp:lastPrinted>
  <dcterms:created xsi:type="dcterms:W3CDTF">2021-06-23T11:25:00Z</dcterms:created>
  <dcterms:modified xsi:type="dcterms:W3CDTF">2021-06-23T11:25:00Z</dcterms:modified>
</cp:coreProperties>
</file>